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265621787"/>
        <w:docPartObj>
          <w:docPartGallery w:val="Cover Pages"/>
          <w:docPartUnique/>
        </w:docPartObj>
      </w:sdtPr>
      <w:sdtEndPr/>
      <w:sdtContent>
        <w:p w:rsidR="00620A8E" w:rsidRDefault="00620A8E"/>
        <w:tbl>
          <w:tblPr>
            <w:tblpPr w:leftFromText="187" w:rightFromText="187" w:horzAnchor="margin" w:tblpXSpec="right" w:tblpYSpec="top"/>
            <w:tblW w:w="2000"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3627"/>
          </w:tblGrid>
          <w:tr w:rsidR="00620A8E">
            <w:sdt>
              <w:sdtPr>
                <w:rPr>
                  <w:rFonts w:asciiTheme="majorHAnsi" w:eastAsiaTheme="majorEastAsia" w:hAnsiTheme="majorHAnsi" w:cstheme="majorBidi"/>
                  <w:sz w:val="72"/>
                  <w:szCs w:val="72"/>
                </w:rPr>
                <w:alias w:val="Título"/>
                <w:id w:val="13553149"/>
                <w:placeholder>
                  <w:docPart w:val="E7A0C17619294A70B55336DC19205F48"/>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620A8E" w:rsidRDefault="00620A8E" w:rsidP="00620A8E">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Informe de Fin de Gestión</w:t>
                    </w:r>
                  </w:p>
                </w:tc>
              </w:sdtContent>
            </w:sdt>
          </w:tr>
          <w:tr w:rsidR="00620A8E">
            <w:sdt>
              <w:sdtPr>
                <w:rPr>
                  <w:sz w:val="40"/>
                  <w:szCs w:val="40"/>
                </w:rPr>
                <w:alias w:val="Subtítulo"/>
                <w:id w:val="13553153"/>
                <w:placeholder>
                  <w:docPart w:val="1A754CEEA13F4615964D0B01F18D34E9"/>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620A8E" w:rsidRDefault="00620A8E" w:rsidP="00620A8E">
                    <w:pPr>
                      <w:pStyle w:val="Sinespaciado"/>
                      <w:rPr>
                        <w:sz w:val="40"/>
                        <w:szCs w:val="40"/>
                      </w:rPr>
                    </w:pPr>
                    <w:r>
                      <w:rPr>
                        <w:sz w:val="40"/>
                        <w:szCs w:val="40"/>
                      </w:rPr>
                      <w:t>Luis Valverde Ramírez</w:t>
                    </w:r>
                  </w:p>
                </w:tc>
              </w:sdtContent>
            </w:sdt>
          </w:tr>
          <w:tr w:rsidR="00620A8E">
            <w:sdt>
              <w:sdtPr>
                <w:rPr>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620A8E" w:rsidRDefault="00620A8E" w:rsidP="00946820">
                    <w:pPr>
                      <w:pStyle w:val="Sinespaciado"/>
                      <w:rPr>
                        <w:sz w:val="28"/>
                        <w:szCs w:val="28"/>
                      </w:rPr>
                    </w:pPr>
                    <w:r>
                      <w:rPr>
                        <w:sz w:val="28"/>
                        <w:szCs w:val="28"/>
                      </w:rPr>
                      <w:t>Ex Asesor de la Inten</w:t>
                    </w:r>
                    <w:r w:rsidR="00946820">
                      <w:rPr>
                        <w:sz w:val="28"/>
                        <w:szCs w:val="28"/>
                      </w:rPr>
                      <w:t>dencia de Agua de Aresep</w:t>
                    </w:r>
                    <w:r>
                      <w:rPr>
                        <w:sz w:val="28"/>
                        <w:szCs w:val="28"/>
                      </w:rPr>
                      <w:t xml:space="preserve">                    20 de </w:t>
                    </w:r>
                    <w:r w:rsidRPr="00295D84">
                      <w:rPr>
                        <w:sz w:val="28"/>
                        <w:szCs w:val="28"/>
                      </w:rPr>
                      <w:t>Mayo de 2016</w:t>
                    </w:r>
                  </w:p>
                </w:tc>
              </w:sdtContent>
            </w:sdt>
          </w:tr>
        </w:tbl>
        <w:p w:rsidR="00620A8E" w:rsidRDefault="00620A8E"/>
        <w:p w:rsidR="00620A8E" w:rsidRDefault="00620A8E">
          <w:r>
            <w:br w:type="page"/>
          </w:r>
        </w:p>
      </w:sdtContent>
    </w:sdt>
    <w:p w:rsidR="00553EBB" w:rsidRDefault="00553EBB" w:rsidP="00553EBB">
      <w:pPr>
        <w:pStyle w:val="TDC2"/>
      </w:pPr>
    </w:p>
    <w:p w:rsidR="00553EBB" w:rsidRDefault="00553EBB" w:rsidP="00553EBB">
      <w:pPr>
        <w:rPr>
          <w:b/>
          <w:smallCaps/>
          <w:sz w:val="28"/>
        </w:rPr>
      </w:pPr>
    </w:p>
    <w:p w:rsidR="00553EBB" w:rsidRPr="00553EBB" w:rsidRDefault="00553EBB" w:rsidP="00553EBB"/>
    <w:p w:rsidR="00620A8E" w:rsidRPr="00553EBB" w:rsidRDefault="00620A8E" w:rsidP="00553EBB">
      <w:pPr>
        <w:pStyle w:val="TDC2"/>
      </w:pPr>
      <w:r w:rsidRPr="00553EBB">
        <w:t>Contenido</w:t>
      </w:r>
    </w:p>
    <w:p w:rsidR="00620A8E" w:rsidRPr="00553EBB" w:rsidRDefault="00620A8E" w:rsidP="00553EBB">
      <w:pPr>
        <w:pStyle w:val="TDC2"/>
      </w:pPr>
    </w:p>
    <w:p w:rsidR="00553EBB" w:rsidRPr="00553EBB" w:rsidRDefault="00C00BC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r w:rsidRPr="00553EBB">
        <w:rPr>
          <w:b w:val="0"/>
          <w:sz w:val="22"/>
          <w:szCs w:val="22"/>
        </w:rPr>
        <w:fldChar w:fldCharType="begin"/>
      </w:r>
      <w:r w:rsidRPr="00553EBB">
        <w:rPr>
          <w:b w:val="0"/>
          <w:sz w:val="22"/>
          <w:szCs w:val="22"/>
        </w:rPr>
        <w:instrText xml:space="preserve"> TOC \o "1-2" \h \z \u </w:instrText>
      </w:r>
      <w:r w:rsidRPr="00553EBB">
        <w:rPr>
          <w:b w:val="0"/>
          <w:sz w:val="22"/>
          <w:szCs w:val="22"/>
        </w:rPr>
        <w:fldChar w:fldCharType="separate"/>
      </w:r>
      <w:hyperlink w:anchor="_Toc451426705" w:history="1">
        <w:r w:rsidR="00553EBB" w:rsidRPr="00553EBB">
          <w:rPr>
            <w:rStyle w:val="Hipervnculo"/>
            <w:rFonts w:ascii="Calibri" w:eastAsia="Times New Roman" w:hAnsi="Calibri" w:cs="Times New Roman"/>
            <w:b w:val="0"/>
            <w:noProof/>
            <w:sz w:val="22"/>
            <w:szCs w:val="22"/>
            <w:lang w:eastAsia="es-CR"/>
          </w:rPr>
          <w:t>1.</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Introducción</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_Toc451426705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2</w:t>
        </w:r>
        <w:r w:rsidR="00553EBB" w:rsidRPr="00553EBB">
          <w:rPr>
            <w:b w:val="0"/>
            <w:noProof/>
            <w:webHidden/>
            <w:sz w:val="22"/>
            <w:szCs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07" w:history="1">
        <w:r w:rsidR="00553EBB" w:rsidRPr="00553EBB">
          <w:rPr>
            <w:rStyle w:val="Hipervnculo"/>
            <w:rFonts w:ascii="Calibri" w:eastAsia="Times New Roman" w:hAnsi="Calibri" w:cs="Times New Roman"/>
            <w:b w:val="0"/>
            <w:noProof/>
            <w:sz w:val="22"/>
            <w:szCs w:val="22"/>
            <w:lang w:eastAsia="es-CR"/>
          </w:rPr>
          <w:t>2.</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Tareas ejecutadas</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_Toc451426707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2</w:t>
        </w:r>
        <w:r w:rsidR="00553EBB" w:rsidRPr="00553EBB">
          <w:rPr>
            <w:b w:val="0"/>
            <w:noProof/>
            <w:webHidden/>
            <w:sz w:val="22"/>
            <w:szCs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09" w:history="1">
        <w:r w:rsidR="00553EBB" w:rsidRPr="00553EBB">
          <w:rPr>
            <w:rStyle w:val="Hipervnculo"/>
            <w:rFonts w:ascii="Calibri" w:eastAsia="Times New Roman" w:hAnsi="Calibri" w:cs="Times New Roman"/>
            <w:b w:val="0"/>
            <w:noProof/>
            <w:sz w:val="22"/>
            <w:szCs w:val="22"/>
            <w:lang w:eastAsia="es-CR"/>
          </w:rPr>
          <w:t>3.</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Principales resultados</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_Toc451426709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2</w:t>
        </w:r>
        <w:r w:rsidR="00553EBB" w:rsidRPr="00553EBB">
          <w:rPr>
            <w:b w:val="0"/>
            <w:noProof/>
            <w:webHidden/>
            <w:sz w:val="22"/>
            <w:szCs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1" w:history="1">
        <w:r w:rsidR="00553EBB" w:rsidRPr="00553EBB">
          <w:rPr>
            <w:rStyle w:val="Hipervnculo"/>
            <w:rFonts w:ascii="Calibri" w:eastAsia="Times New Roman" w:hAnsi="Calibri" w:cs="Times New Roman"/>
            <w:b w:val="0"/>
            <w:bCs/>
            <w:noProof/>
            <w:sz w:val="22"/>
            <w:lang w:eastAsia="es-CR"/>
          </w:rPr>
          <w:t>a.</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Política tarifaria y modelos tarifarios</w:t>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_Toc451426711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2</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2" w:history="1">
        <w:r w:rsidR="00553EBB" w:rsidRPr="00553EBB">
          <w:rPr>
            <w:rStyle w:val="Hipervnculo"/>
            <w:rFonts w:ascii="Calibri" w:eastAsia="Times New Roman" w:hAnsi="Calibri" w:cs="Times New Roman"/>
            <w:b w:val="0"/>
            <w:bCs/>
            <w:noProof/>
            <w:sz w:val="22"/>
            <w:lang w:eastAsia="es-CR"/>
          </w:rPr>
          <w:t>b.</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Subsidios</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_Toc451426712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3</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3" w:history="1">
        <w:r w:rsidR="00553EBB" w:rsidRPr="00553EBB">
          <w:rPr>
            <w:rStyle w:val="Hipervnculo"/>
            <w:rFonts w:ascii="Calibri" w:eastAsia="Times New Roman" w:hAnsi="Calibri" w:cs="Times New Roman"/>
            <w:b w:val="0"/>
            <w:bCs/>
            <w:noProof/>
            <w:sz w:val="22"/>
            <w:lang w:eastAsia="es-CR"/>
          </w:rPr>
          <w:t>c.</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Fiscalización</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_Toc451426713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4</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4" w:history="1">
        <w:r w:rsidR="00553EBB" w:rsidRPr="00553EBB">
          <w:rPr>
            <w:rStyle w:val="Hipervnculo"/>
            <w:rFonts w:ascii="Calibri" w:eastAsia="Times New Roman" w:hAnsi="Calibri" w:cs="Times New Roman"/>
            <w:b w:val="0"/>
            <w:bCs/>
            <w:noProof/>
            <w:sz w:val="22"/>
            <w:lang w:eastAsia="es-CR"/>
          </w:rPr>
          <w:t>d.</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Capacitación</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_Toc451426714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5</w:t>
        </w:r>
        <w:r w:rsidR="00553EBB" w:rsidRPr="00553EBB">
          <w:rPr>
            <w:b w:val="0"/>
            <w:noProof/>
            <w:webHidden/>
            <w:sz w:val="22"/>
          </w:rPr>
          <w:fldChar w:fldCharType="end"/>
        </w:r>
      </w:hyperlink>
      <w:bookmarkStart w:id="0" w:name="_GoBack"/>
      <w:bookmarkEnd w:id="0"/>
    </w:p>
    <w:p w:rsidR="00553EBB" w:rsidRPr="00553EBB" w:rsidRDefault="00E75740" w:rsidP="00553EBB">
      <w:pPr>
        <w:pStyle w:val="TDC2"/>
        <w:jc w:val="both"/>
        <w:rPr>
          <w:rFonts w:eastAsiaTheme="minorEastAsia"/>
          <w:b w:val="0"/>
          <w:noProof/>
          <w:lang w:val="es-ES" w:eastAsia="es-ES"/>
        </w:rPr>
      </w:pPr>
      <w:hyperlink w:anchor="_Toc451426715" w:history="1">
        <w:r w:rsidR="00553EBB" w:rsidRPr="00553EBB">
          <w:rPr>
            <w:rStyle w:val="Hipervnculo"/>
            <w:rFonts w:ascii="Calibri" w:eastAsia="Times New Roman" w:hAnsi="Calibri" w:cs="Times New Roman"/>
            <w:b w:val="0"/>
            <w:bCs/>
            <w:noProof/>
            <w:sz w:val="22"/>
            <w:lang w:eastAsia="es-CR"/>
          </w:rPr>
          <w:t>e.</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Participación en comisiones</w:t>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r>
        <w:r w:rsidR="00553EBB">
          <w:rPr>
            <w:rStyle w:val="Hipervnculo"/>
            <w:rFonts w:ascii="Calibri" w:eastAsia="Times New Roman" w:hAnsi="Calibri" w:cs="Times New Roman"/>
            <w:b w:val="0"/>
            <w:bCs/>
            <w:noProof/>
            <w:sz w:val="22"/>
            <w:lang w:eastAsia="es-CR"/>
          </w:rPr>
          <w:tab/>
          <w:t xml:space="preserve">      </w:t>
        </w:r>
        <w:r w:rsidR="00553EBB" w:rsidRPr="00553EBB">
          <w:rPr>
            <w:b w:val="0"/>
            <w:noProof/>
            <w:webHidden/>
          </w:rPr>
          <w:tab/>
        </w:r>
        <w:r w:rsidR="00553EBB">
          <w:rPr>
            <w:b w:val="0"/>
            <w:noProof/>
            <w:webHidden/>
          </w:rPr>
          <w:t xml:space="preserve">    </w:t>
        </w:r>
        <w:r w:rsidR="00553EBB" w:rsidRPr="00553EBB">
          <w:rPr>
            <w:b w:val="0"/>
            <w:noProof/>
            <w:webHidden/>
            <w:sz w:val="22"/>
          </w:rPr>
          <w:fldChar w:fldCharType="begin"/>
        </w:r>
        <w:r w:rsidR="00553EBB" w:rsidRPr="00553EBB">
          <w:rPr>
            <w:b w:val="0"/>
            <w:noProof/>
            <w:webHidden/>
            <w:sz w:val="22"/>
          </w:rPr>
          <w:instrText xml:space="preserve"> PAGEREF _Toc451426715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5</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6" w:history="1">
        <w:r w:rsidR="00553EBB" w:rsidRPr="00553EBB">
          <w:rPr>
            <w:rStyle w:val="Hipervnculo"/>
            <w:rFonts w:ascii="Calibri" w:eastAsia="Times New Roman" w:hAnsi="Calibri" w:cs="Times New Roman"/>
            <w:b w:val="0"/>
            <w:bCs/>
            <w:noProof/>
            <w:sz w:val="22"/>
            <w:lang w:eastAsia="es-CR"/>
          </w:rPr>
          <w:t>f.</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Trabajos especiales</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_Toc451426716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6</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7" w:history="1">
        <w:r w:rsidR="00553EBB" w:rsidRPr="00553EBB">
          <w:rPr>
            <w:rStyle w:val="Hipervnculo"/>
            <w:rFonts w:ascii="Calibri" w:eastAsia="Times New Roman" w:hAnsi="Calibri" w:cs="Times New Roman"/>
            <w:b w:val="0"/>
            <w:bCs/>
            <w:noProof/>
            <w:sz w:val="22"/>
            <w:lang w:eastAsia="es-CR"/>
          </w:rPr>
          <w:t>g.</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Informes para el nuevo Regulador General</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_Toc451426717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7</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8" w:history="1">
        <w:r w:rsidR="00553EBB" w:rsidRPr="00553EBB">
          <w:rPr>
            <w:rStyle w:val="Hipervnculo"/>
            <w:rFonts w:ascii="Calibri" w:eastAsia="Times New Roman" w:hAnsi="Calibri" w:cs="Times New Roman"/>
            <w:b w:val="0"/>
            <w:bCs/>
            <w:noProof/>
            <w:sz w:val="22"/>
            <w:lang w:eastAsia="es-CR"/>
          </w:rPr>
          <w:t>h.</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Elaboración o revisión y ajuste de informes conjuntos</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_Toc451426718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7</w:t>
        </w:r>
        <w:r w:rsidR="00553EBB" w:rsidRPr="00553EBB">
          <w:rPr>
            <w:b w:val="0"/>
            <w:noProof/>
            <w:webHidden/>
            <w:sz w:val="22"/>
          </w:rPr>
          <w:fldChar w:fldCharType="end"/>
        </w:r>
      </w:hyperlink>
    </w:p>
    <w:p w:rsidR="00553EBB" w:rsidRPr="00553EBB" w:rsidRDefault="00E75740" w:rsidP="00553EBB">
      <w:pPr>
        <w:pStyle w:val="TDC2"/>
        <w:jc w:val="both"/>
        <w:rPr>
          <w:rFonts w:eastAsiaTheme="minorEastAsia"/>
          <w:b w:val="0"/>
          <w:noProof/>
          <w:lang w:val="es-ES" w:eastAsia="es-ES"/>
        </w:rPr>
      </w:pPr>
      <w:hyperlink w:anchor="_Toc451426719" w:history="1">
        <w:r w:rsidR="00553EBB" w:rsidRPr="00553EBB">
          <w:rPr>
            <w:rStyle w:val="Hipervnculo"/>
            <w:rFonts w:ascii="Calibri" w:eastAsia="Times New Roman" w:hAnsi="Calibri" w:cs="Times New Roman"/>
            <w:b w:val="0"/>
            <w:bCs/>
            <w:noProof/>
            <w:sz w:val="22"/>
            <w:lang w:eastAsia="es-CR"/>
          </w:rPr>
          <w:t>i.</w:t>
        </w:r>
        <w:r w:rsidR="00553EBB" w:rsidRPr="00553EBB">
          <w:rPr>
            <w:rFonts w:eastAsiaTheme="minorEastAsia"/>
            <w:b w:val="0"/>
            <w:noProof/>
            <w:lang w:val="es-ES" w:eastAsia="es-ES"/>
          </w:rPr>
          <w:tab/>
        </w:r>
        <w:r w:rsidR="00553EBB" w:rsidRPr="00553EBB">
          <w:rPr>
            <w:rStyle w:val="Hipervnculo"/>
            <w:rFonts w:ascii="Calibri" w:eastAsia="Times New Roman" w:hAnsi="Calibri" w:cs="Times New Roman"/>
            <w:b w:val="0"/>
            <w:bCs/>
            <w:noProof/>
            <w:sz w:val="22"/>
            <w:lang w:eastAsia="es-CR"/>
          </w:rPr>
          <w:t>Otras labores</w:t>
        </w:r>
        <w:r w:rsidR="00553EBB" w:rsidRP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r>
        <w:r w:rsidR="00553EBB">
          <w:rPr>
            <w:b w:val="0"/>
            <w:noProof/>
            <w:webHidden/>
          </w:rPr>
          <w:tab/>
          <w:t xml:space="preserve">    </w:t>
        </w:r>
        <w:r w:rsidR="00553EBB" w:rsidRPr="00553EBB">
          <w:rPr>
            <w:b w:val="0"/>
            <w:noProof/>
            <w:webHidden/>
            <w:sz w:val="22"/>
          </w:rPr>
          <w:fldChar w:fldCharType="begin"/>
        </w:r>
        <w:r w:rsidR="00553EBB" w:rsidRPr="00553EBB">
          <w:rPr>
            <w:b w:val="0"/>
            <w:noProof/>
            <w:webHidden/>
            <w:sz w:val="22"/>
          </w:rPr>
          <w:instrText xml:space="preserve"> PAGEREF _Toc451426719 \h </w:instrText>
        </w:r>
        <w:r w:rsidR="00553EBB" w:rsidRPr="00553EBB">
          <w:rPr>
            <w:b w:val="0"/>
            <w:noProof/>
            <w:webHidden/>
            <w:sz w:val="22"/>
          </w:rPr>
        </w:r>
        <w:r w:rsidR="00553EBB" w:rsidRPr="00553EBB">
          <w:rPr>
            <w:b w:val="0"/>
            <w:noProof/>
            <w:webHidden/>
            <w:sz w:val="22"/>
          </w:rPr>
          <w:fldChar w:fldCharType="separate"/>
        </w:r>
        <w:r w:rsidR="00D8583B">
          <w:rPr>
            <w:b w:val="0"/>
            <w:noProof/>
            <w:webHidden/>
            <w:sz w:val="22"/>
          </w:rPr>
          <w:t>8</w:t>
        </w:r>
        <w:r w:rsidR="00553EBB" w:rsidRPr="00553EBB">
          <w:rPr>
            <w:b w:val="0"/>
            <w:noProof/>
            <w:webHidden/>
            <w:sz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20" w:history="1">
        <w:r w:rsidR="00553EBB" w:rsidRPr="00553EBB">
          <w:rPr>
            <w:rStyle w:val="Hipervnculo"/>
            <w:rFonts w:ascii="Calibri" w:eastAsia="Times New Roman" w:hAnsi="Calibri" w:cs="Times New Roman"/>
            <w:b w:val="0"/>
            <w:noProof/>
            <w:sz w:val="22"/>
            <w:szCs w:val="22"/>
            <w:lang w:eastAsia="es-CR"/>
          </w:rPr>
          <w:t>4.</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Estado de los proyectos en curso</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_Toc451426720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8</w:t>
        </w:r>
        <w:r w:rsidR="00553EBB" w:rsidRPr="00553EBB">
          <w:rPr>
            <w:b w:val="0"/>
            <w:noProof/>
            <w:webHidden/>
            <w:sz w:val="22"/>
            <w:szCs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21" w:history="1">
        <w:r w:rsidR="00553EBB" w:rsidRPr="00553EBB">
          <w:rPr>
            <w:rStyle w:val="Hipervnculo"/>
            <w:rFonts w:ascii="Calibri" w:eastAsia="Times New Roman" w:hAnsi="Calibri" w:cs="Times New Roman"/>
            <w:b w:val="0"/>
            <w:noProof/>
            <w:sz w:val="22"/>
            <w:szCs w:val="22"/>
            <w:lang w:eastAsia="es-CR"/>
          </w:rPr>
          <w:t>5.</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Sugerencias para la buena marcha de la Institución</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_Toc451426721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8</w:t>
        </w:r>
        <w:r w:rsidR="00553EBB" w:rsidRPr="00553EBB">
          <w:rPr>
            <w:b w:val="0"/>
            <w:noProof/>
            <w:webHidden/>
            <w:sz w:val="22"/>
            <w:szCs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22" w:history="1">
        <w:r w:rsidR="00553EBB" w:rsidRPr="00553EBB">
          <w:rPr>
            <w:rStyle w:val="Hipervnculo"/>
            <w:rFonts w:ascii="Calibri" w:eastAsia="Times New Roman" w:hAnsi="Calibri" w:cs="Times New Roman"/>
            <w:b w:val="0"/>
            <w:noProof/>
            <w:sz w:val="22"/>
            <w:szCs w:val="22"/>
            <w:lang w:eastAsia="es-CR"/>
          </w:rPr>
          <w:t>6.</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Control interno</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_Toc451426722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8</w:t>
        </w:r>
        <w:r w:rsidR="00553EBB" w:rsidRPr="00553EBB">
          <w:rPr>
            <w:b w:val="0"/>
            <w:noProof/>
            <w:webHidden/>
            <w:sz w:val="22"/>
            <w:szCs w:val="22"/>
          </w:rPr>
          <w:fldChar w:fldCharType="end"/>
        </w:r>
      </w:hyperlink>
    </w:p>
    <w:p w:rsidR="00553EBB" w:rsidRPr="00553EBB" w:rsidRDefault="00E75740" w:rsidP="00553EBB">
      <w:pPr>
        <w:pStyle w:val="TDC1"/>
        <w:tabs>
          <w:tab w:val="left" w:pos="440"/>
          <w:tab w:val="right" w:leader="dot" w:pos="8828"/>
        </w:tabs>
        <w:spacing w:line="360" w:lineRule="auto"/>
        <w:rPr>
          <w:rFonts w:eastAsiaTheme="minorEastAsia"/>
          <w:b w:val="0"/>
          <w:bCs w:val="0"/>
          <w:caps w:val="0"/>
          <w:noProof/>
          <w:sz w:val="22"/>
          <w:szCs w:val="22"/>
          <w:lang w:val="es-ES" w:eastAsia="es-ES"/>
        </w:rPr>
      </w:pPr>
      <w:hyperlink w:anchor="_Toc451426723" w:history="1">
        <w:r w:rsidR="00553EBB" w:rsidRPr="00553EBB">
          <w:rPr>
            <w:rStyle w:val="Hipervnculo"/>
            <w:rFonts w:ascii="Calibri" w:eastAsia="Times New Roman" w:hAnsi="Calibri" w:cs="Times New Roman"/>
            <w:b w:val="0"/>
            <w:noProof/>
            <w:sz w:val="22"/>
            <w:szCs w:val="22"/>
            <w:lang w:eastAsia="es-CR"/>
          </w:rPr>
          <w:t>7.</w:t>
        </w:r>
        <w:r w:rsidR="00553EBB" w:rsidRPr="00553EBB">
          <w:rPr>
            <w:rFonts w:eastAsiaTheme="minorEastAsia"/>
            <w:b w:val="0"/>
            <w:bCs w:val="0"/>
            <w:caps w:val="0"/>
            <w:noProof/>
            <w:sz w:val="22"/>
            <w:szCs w:val="22"/>
            <w:lang w:val="es-ES" w:eastAsia="es-ES"/>
          </w:rPr>
          <w:tab/>
        </w:r>
        <w:r w:rsidR="00553EBB" w:rsidRPr="00553EBB">
          <w:rPr>
            <w:rStyle w:val="Hipervnculo"/>
            <w:rFonts w:ascii="Calibri" w:eastAsia="Times New Roman" w:hAnsi="Calibri" w:cs="Times New Roman"/>
            <w:b w:val="0"/>
            <w:noProof/>
            <w:sz w:val="22"/>
            <w:szCs w:val="22"/>
            <w:lang w:eastAsia="es-CR"/>
          </w:rPr>
          <w:t>Agradecimiento</w:t>
        </w:r>
        <w:r w:rsidR="00553EBB" w:rsidRPr="00553EBB">
          <w:rPr>
            <w:b w:val="0"/>
            <w:noProof/>
            <w:webHidden/>
            <w:sz w:val="22"/>
            <w:szCs w:val="22"/>
          </w:rPr>
          <w:tab/>
        </w:r>
        <w:r w:rsidR="00553EBB" w:rsidRPr="00553EBB">
          <w:rPr>
            <w:b w:val="0"/>
            <w:noProof/>
            <w:webHidden/>
            <w:sz w:val="22"/>
            <w:szCs w:val="22"/>
          </w:rPr>
          <w:fldChar w:fldCharType="begin"/>
        </w:r>
        <w:r w:rsidR="00553EBB" w:rsidRPr="00553EBB">
          <w:rPr>
            <w:b w:val="0"/>
            <w:noProof/>
            <w:webHidden/>
            <w:sz w:val="22"/>
            <w:szCs w:val="22"/>
          </w:rPr>
          <w:instrText xml:space="preserve"> PAGEREF _Toc451426723 \h </w:instrText>
        </w:r>
        <w:r w:rsidR="00553EBB" w:rsidRPr="00553EBB">
          <w:rPr>
            <w:b w:val="0"/>
            <w:noProof/>
            <w:webHidden/>
            <w:sz w:val="22"/>
            <w:szCs w:val="22"/>
          </w:rPr>
        </w:r>
        <w:r w:rsidR="00553EBB" w:rsidRPr="00553EBB">
          <w:rPr>
            <w:b w:val="0"/>
            <w:noProof/>
            <w:webHidden/>
            <w:sz w:val="22"/>
            <w:szCs w:val="22"/>
          </w:rPr>
          <w:fldChar w:fldCharType="separate"/>
        </w:r>
        <w:r w:rsidR="00D8583B">
          <w:rPr>
            <w:b w:val="0"/>
            <w:noProof/>
            <w:webHidden/>
            <w:sz w:val="22"/>
            <w:szCs w:val="22"/>
          </w:rPr>
          <w:t>8</w:t>
        </w:r>
        <w:r w:rsidR="00553EBB" w:rsidRPr="00553EBB">
          <w:rPr>
            <w:b w:val="0"/>
            <w:noProof/>
            <w:webHidden/>
            <w:sz w:val="22"/>
            <w:szCs w:val="22"/>
          </w:rPr>
          <w:fldChar w:fldCharType="end"/>
        </w:r>
      </w:hyperlink>
    </w:p>
    <w:p w:rsidR="005745EF" w:rsidRDefault="00C00BC0" w:rsidP="00553EBB">
      <w:pPr>
        <w:spacing w:line="360" w:lineRule="auto"/>
      </w:pPr>
      <w:r w:rsidRPr="00553EBB">
        <w:fldChar w:fldCharType="end"/>
      </w:r>
    </w:p>
    <w:p w:rsidR="00553EBB" w:rsidRDefault="00553EBB" w:rsidP="00553EBB">
      <w:pPr>
        <w:spacing w:line="360" w:lineRule="auto"/>
      </w:pPr>
    </w:p>
    <w:p w:rsidR="00553EBB" w:rsidRDefault="00553EBB" w:rsidP="00553EBB">
      <w:pPr>
        <w:spacing w:line="360" w:lineRule="auto"/>
      </w:pPr>
    </w:p>
    <w:p w:rsidR="00037220" w:rsidRDefault="00037220" w:rsidP="00553EBB">
      <w:pPr>
        <w:spacing w:line="360" w:lineRule="auto"/>
      </w:pPr>
    </w:p>
    <w:p w:rsidR="00553EBB" w:rsidRDefault="00553EBB" w:rsidP="00553EBB">
      <w:pPr>
        <w:spacing w:line="360" w:lineRule="auto"/>
      </w:pPr>
    </w:p>
    <w:tbl>
      <w:tblPr>
        <w:tblW w:w="8480" w:type="dxa"/>
        <w:tblCellMar>
          <w:left w:w="70" w:type="dxa"/>
          <w:right w:w="70" w:type="dxa"/>
        </w:tblCellMar>
        <w:tblLook w:val="04A0" w:firstRow="1" w:lastRow="0" w:firstColumn="1" w:lastColumn="0" w:noHBand="0" w:noVBand="1"/>
      </w:tblPr>
      <w:tblGrid>
        <w:gridCol w:w="8480"/>
      </w:tblGrid>
      <w:tr w:rsidR="00A242F7" w:rsidRPr="00A242F7" w:rsidTr="00A242F7">
        <w:trPr>
          <w:trHeight w:val="288"/>
        </w:trPr>
        <w:tc>
          <w:tcPr>
            <w:tcW w:w="8480" w:type="dxa"/>
            <w:tcBorders>
              <w:top w:val="nil"/>
              <w:left w:val="nil"/>
              <w:bottom w:val="nil"/>
              <w:right w:val="nil"/>
            </w:tcBorders>
            <w:shd w:val="clear" w:color="auto" w:fill="auto"/>
            <w:vAlign w:val="bottom"/>
            <w:hideMark/>
          </w:tcPr>
          <w:p w:rsidR="005745EF" w:rsidRDefault="005745EF" w:rsidP="005745EF">
            <w:pPr>
              <w:spacing w:after="0" w:line="240" w:lineRule="auto"/>
              <w:jc w:val="center"/>
              <w:rPr>
                <w:rFonts w:ascii="Calibri" w:eastAsia="Times New Roman" w:hAnsi="Calibri" w:cs="Times New Roman"/>
                <w:b/>
                <w:bCs/>
                <w:color w:val="000000"/>
                <w:lang w:eastAsia="es-CR"/>
              </w:rPr>
            </w:pPr>
            <w:r>
              <w:rPr>
                <w:rFonts w:ascii="Calibri" w:eastAsia="Times New Roman" w:hAnsi="Calibri" w:cs="Times New Roman"/>
                <w:b/>
                <w:bCs/>
                <w:color w:val="000000"/>
                <w:lang w:eastAsia="es-CR"/>
              </w:rPr>
              <w:lastRenderedPageBreak/>
              <w:t xml:space="preserve">Informe de fin de gestión </w:t>
            </w:r>
          </w:p>
          <w:p w:rsidR="005745EF" w:rsidRPr="005745EF" w:rsidRDefault="005745EF" w:rsidP="005745EF">
            <w:pPr>
              <w:spacing w:after="0" w:line="240" w:lineRule="auto"/>
              <w:jc w:val="center"/>
              <w:rPr>
                <w:rFonts w:ascii="Calibri" w:eastAsia="Times New Roman" w:hAnsi="Calibri" w:cs="Times New Roman"/>
                <w:b/>
                <w:bCs/>
                <w:color w:val="000000"/>
                <w:lang w:eastAsia="es-CR"/>
              </w:rPr>
            </w:pPr>
            <w:r w:rsidRPr="005745EF">
              <w:rPr>
                <w:rFonts w:ascii="Calibri" w:eastAsia="Times New Roman" w:hAnsi="Calibri" w:cs="Times New Roman"/>
                <w:b/>
                <w:bCs/>
                <w:color w:val="000000"/>
                <w:lang w:eastAsia="es-CR"/>
              </w:rPr>
              <w:t>Luis Valverde Ramírez</w:t>
            </w:r>
          </w:p>
          <w:p w:rsidR="005745EF" w:rsidRPr="005745EF" w:rsidRDefault="005745EF" w:rsidP="005745EF">
            <w:pPr>
              <w:spacing w:after="0" w:line="240" w:lineRule="auto"/>
              <w:jc w:val="center"/>
              <w:rPr>
                <w:rFonts w:ascii="Calibri" w:eastAsia="Times New Roman" w:hAnsi="Calibri" w:cs="Times New Roman"/>
                <w:bCs/>
                <w:color w:val="000000"/>
                <w:lang w:eastAsia="es-CR"/>
              </w:rPr>
            </w:pPr>
            <w:r w:rsidRPr="005745EF">
              <w:rPr>
                <w:rFonts w:ascii="Calibri" w:eastAsia="Times New Roman" w:hAnsi="Calibri" w:cs="Times New Roman"/>
                <w:b/>
                <w:bCs/>
                <w:color w:val="000000"/>
                <w:lang w:eastAsia="es-CR"/>
              </w:rPr>
              <w:t>Ex Asesor de la Intendenc</w:t>
            </w:r>
            <w:r>
              <w:rPr>
                <w:rFonts w:ascii="Calibri" w:eastAsia="Times New Roman" w:hAnsi="Calibri" w:cs="Times New Roman"/>
                <w:b/>
                <w:bCs/>
                <w:color w:val="000000"/>
                <w:lang w:eastAsia="es-CR"/>
              </w:rPr>
              <w:t>ia de Agua de</w:t>
            </w:r>
            <w:r w:rsidRPr="005745EF">
              <w:rPr>
                <w:rFonts w:ascii="Calibri" w:eastAsia="Times New Roman" w:hAnsi="Calibri" w:cs="Times New Roman"/>
                <w:b/>
                <w:bCs/>
                <w:color w:val="000000"/>
                <w:lang w:eastAsia="es-CR"/>
              </w:rPr>
              <w:t xml:space="preserve"> Aresep</w:t>
            </w:r>
          </w:p>
          <w:p w:rsidR="005745EF" w:rsidRDefault="005745EF" w:rsidP="005745EF">
            <w:pPr>
              <w:spacing w:after="0" w:line="240" w:lineRule="auto"/>
              <w:jc w:val="center"/>
              <w:rPr>
                <w:rFonts w:ascii="Calibri" w:eastAsia="Times New Roman" w:hAnsi="Calibri" w:cs="Times New Roman"/>
                <w:b/>
                <w:bCs/>
                <w:color w:val="000000"/>
                <w:lang w:eastAsia="es-CR"/>
              </w:rPr>
            </w:pPr>
            <w:r w:rsidRPr="005745EF">
              <w:rPr>
                <w:rFonts w:ascii="Calibri" w:eastAsia="Times New Roman" w:hAnsi="Calibri" w:cs="Times New Roman"/>
                <w:bCs/>
                <w:color w:val="000000"/>
                <w:sz w:val="18"/>
                <w:lang w:eastAsia="es-CR"/>
              </w:rPr>
              <w:t>Cédula 1</w:t>
            </w:r>
            <w:r w:rsidR="001B347F">
              <w:rPr>
                <w:rFonts w:ascii="Calibri" w:eastAsia="Times New Roman" w:hAnsi="Calibri" w:cs="Times New Roman"/>
                <w:bCs/>
                <w:color w:val="000000"/>
                <w:sz w:val="18"/>
                <w:lang w:eastAsia="es-CR"/>
              </w:rPr>
              <w:t>-</w:t>
            </w:r>
            <w:r w:rsidRPr="005745EF">
              <w:rPr>
                <w:rFonts w:ascii="Calibri" w:eastAsia="Times New Roman" w:hAnsi="Calibri" w:cs="Times New Roman"/>
                <w:bCs/>
                <w:color w:val="000000"/>
                <w:sz w:val="18"/>
                <w:lang w:eastAsia="es-CR"/>
              </w:rPr>
              <w:t>0473</w:t>
            </w:r>
            <w:r w:rsidR="001B347F">
              <w:rPr>
                <w:rFonts w:ascii="Calibri" w:eastAsia="Times New Roman" w:hAnsi="Calibri" w:cs="Times New Roman"/>
                <w:bCs/>
                <w:color w:val="000000"/>
                <w:sz w:val="18"/>
                <w:lang w:eastAsia="es-CR"/>
              </w:rPr>
              <w:t>-</w:t>
            </w:r>
            <w:r w:rsidRPr="005745EF">
              <w:rPr>
                <w:rFonts w:ascii="Calibri" w:eastAsia="Times New Roman" w:hAnsi="Calibri" w:cs="Times New Roman"/>
                <w:bCs/>
                <w:color w:val="000000"/>
                <w:sz w:val="18"/>
                <w:lang w:eastAsia="es-CR"/>
              </w:rPr>
              <w:t>0438</w:t>
            </w:r>
          </w:p>
          <w:p w:rsidR="005745EF" w:rsidRPr="00A242F7" w:rsidRDefault="005745EF" w:rsidP="005745EF">
            <w:pPr>
              <w:spacing w:after="0" w:line="240" w:lineRule="auto"/>
              <w:jc w:val="both"/>
              <w:rPr>
                <w:rFonts w:ascii="Calibri" w:eastAsia="Times New Roman" w:hAnsi="Calibri" w:cs="Times New Roman"/>
                <w:b/>
                <w:bCs/>
                <w:color w:val="000000"/>
                <w:lang w:eastAsia="es-CR"/>
              </w:rPr>
            </w:pPr>
          </w:p>
        </w:tc>
      </w:tr>
      <w:tr w:rsidR="00A242F7" w:rsidRPr="00A242F7" w:rsidTr="00A242F7">
        <w:trPr>
          <w:trHeight w:val="276"/>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jc w:val="both"/>
              <w:rPr>
                <w:rFonts w:ascii="Calibri" w:eastAsia="Times New Roman" w:hAnsi="Calibri" w:cs="Times New Roman"/>
                <w:b/>
                <w:bCs/>
                <w:color w:val="000000"/>
                <w:lang w:eastAsia="es-CR"/>
              </w:rPr>
            </w:pPr>
          </w:p>
        </w:tc>
      </w:tr>
      <w:tr w:rsidR="003E795E" w:rsidRPr="00A242F7" w:rsidTr="00A242F7">
        <w:trPr>
          <w:trHeight w:val="276"/>
        </w:trPr>
        <w:tc>
          <w:tcPr>
            <w:tcW w:w="8480" w:type="dxa"/>
            <w:tcBorders>
              <w:top w:val="nil"/>
              <w:left w:val="nil"/>
              <w:bottom w:val="nil"/>
              <w:right w:val="nil"/>
            </w:tcBorders>
            <w:shd w:val="clear" w:color="auto" w:fill="auto"/>
            <w:noWrap/>
            <w:vAlign w:val="bottom"/>
          </w:tcPr>
          <w:p w:rsidR="003E795E" w:rsidRPr="00A242F7" w:rsidRDefault="003E795E" w:rsidP="005745EF">
            <w:pPr>
              <w:spacing w:after="0" w:line="240" w:lineRule="auto"/>
              <w:jc w:val="both"/>
              <w:rPr>
                <w:rFonts w:ascii="Calibri" w:eastAsia="Times New Roman" w:hAnsi="Calibri" w:cs="Times New Roman"/>
                <w:b/>
                <w:bCs/>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F61AA2" w:rsidRPr="00620A8E" w:rsidRDefault="00686F15" w:rsidP="00553EBB">
            <w:pPr>
              <w:pStyle w:val="Prrafodelista"/>
              <w:numPr>
                <w:ilvl w:val="0"/>
                <w:numId w:val="3"/>
              </w:numPr>
              <w:outlineLvl w:val="0"/>
              <w:rPr>
                <w:rFonts w:ascii="Calibri" w:eastAsia="Times New Roman" w:hAnsi="Calibri" w:cs="Times New Roman"/>
                <w:b/>
                <w:bCs/>
                <w:color w:val="000000"/>
                <w:lang w:eastAsia="es-CR"/>
              </w:rPr>
            </w:pPr>
            <w:bookmarkStart w:id="1" w:name="_Toc451425941"/>
            <w:bookmarkStart w:id="2" w:name="_Toc451426705"/>
            <w:r w:rsidRPr="00620A8E">
              <w:rPr>
                <w:rFonts w:ascii="Calibri" w:eastAsia="Times New Roman" w:hAnsi="Calibri" w:cs="Times New Roman"/>
                <w:b/>
                <w:bCs/>
                <w:color w:val="000000"/>
                <w:lang w:eastAsia="es-CR"/>
              </w:rPr>
              <w:t>Introducción</w:t>
            </w:r>
            <w:bookmarkEnd w:id="1"/>
            <w:bookmarkEnd w:id="2"/>
          </w:p>
          <w:p w:rsidR="00686F15" w:rsidRPr="00686F15" w:rsidRDefault="00686F15" w:rsidP="00C00BC0">
            <w:pPr>
              <w:jc w:val="both"/>
              <w:outlineLvl w:val="1"/>
              <w:rPr>
                <w:rFonts w:ascii="Calibri" w:eastAsia="Times New Roman" w:hAnsi="Calibri" w:cs="Times New Roman"/>
                <w:bCs/>
                <w:color w:val="000000"/>
                <w:lang w:eastAsia="es-CR"/>
              </w:rPr>
            </w:pPr>
            <w:bookmarkStart w:id="3" w:name="_Toc451425490"/>
            <w:bookmarkStart w:id="4" w:name="_Toc451425942"/>
            <w:bookmarkStart w:id="5" w:name="_Toc451426429"/>
            <w:bookmarkStart w:id="6" w:name="_Toc451426706"/>
            <w:r w:rsidRPr="00686F15">
              <w:rPr>
                <w:rFonts w:ascii="Calibri" w:eastAsia="Times New Roman" w:hAnsi="Calibri" w:cs="Times New Roman"/>
                <w:bCs/>
                <w:color w:val="000000"/>
                <w:lang w:eastAsia="es-CR"/>
              </w:rPr>
              <w:t>Este informe</w:t>
            </w:r>
            <w:r>
              <w:rPr>
                <w:rFonts w:ascii="Calibri" w:eastAsia="Times New Roman" w:hAnsi="Calibri" w:cs="Times New Roman"/>
                <w:bCs/>
                <w:color w:val="000000"/>
                <w:lang w:eastAsia="es-CR"/>
              </w:rPr>
              <w:t xml:space="preserve"> presenta los principales resultados de la gestión del suscrito como Asesor de la Intendencia de Agua</w:t>
            </w:r>
            <w:r w:rsidR="00CB007D">
              <w:rPr>
                <w:rFonts w:ascii="Calibri" w:eastAsia="Times New Roman" w:hAnsi="Calibri" w:cs="Times New Roman"/>
                <w:bCs/>
                <w:color w:val="000000"/>
                <w:lang w:eastAsia="es-CR"/>
              </w:rPr>
              <w:t xml:space="preserve"> -IA-</w:t>
            </w:r>
            <w:r>
              <w:rPr>
                <w:rFonts w:ascii="Calibri" w:eastAsia="Times New Roman" w:hAnsi="Calibri" w:cs="Times New Roman"/>
                <w:bCs/>
                <w:color w:val="000000"/>
                <w:lang w:eastAsia="es-CR"/>
              </w:rPr>
              <w:t xml:space="preserve"> de Aresep</w:t>
            </w:r>
            <w:r w:rsidR="00DA5942">
              <w:rPr>
                <w:rFonts w:ascii="Calibri" w:eastAsia="Times New Roman" w:hAnsi="Calibri" w:cs="Times New Roman"/>
                <w:bCs/>
                <w:color w:val="000000"/>
                <w:lang w:eastAsia="es-CR"/>
              </w:rPr>
              <w:t xml:space="preserve">, así como algunos aspectos de interés </w:t>
            </w:r>
            <w:r w:rsidR="00A87DF0">
              <w:rPr>
                <w:rFonts w:ascii="Calibri" w:eastAsia="Times New Roman" w:hAnsi="Calibri" w:cs="Times New Roman"/>
                <w:bCs/>
                <w:color w:val="000000"/>
                <w:lang w:eastAsia="es-CR"/>
              </w:rPr>
              <w:t>sobre las</w:t>
            </w:r>
            <w:r w:rsidR="00DA5942">
              <w:rPr>
                <w:rFonts w:ascii="Calibri" w:eastAsia="Times New Roman" w:hAnsi="Calibri" w:cs="Times New Roman"/>
                <w:bCs/>
                <w:color w:val="000000"/>
                <w:lang w:eastAsia="es-CR"/>
              </w:rPr>
              <w:t xml:space="preserve"> labores realizadas previamente</w:t>
            </w:r>
            <w:r>
              <w:rPr>
                <w:rFonts w:ascii="Calibri" w:eastAsia="Times New Roman" w:hAnsi="Calibri" w:cs="Times New Roman"/>
                <w:bCs/>
                <w:color w:val="000000"/>
                <w:lang w:eastAsia="es-CR"/>
              </w:rPr>
              <w:t>. Es</w:t>
            </w:r>
            <w:r w:rsidR="00A87DF0">
              <w:rPr>
                <w:rFonts w:ascii="Calibri" w:eastAsia="Times New Roman" w:hAnsi="Calibri" w:cs="Times New Roman"/>
                <w:bCs/>
                <w:color w:val="000000"/>
                <w:lang w:eastAsia="es-CR"/>
              </w:rPr>
              <w:t>t</w:t>
            </w:r>
            <w:r>
              <w:rPr>
                <w:rFonts w:ascii="Calibri" w:eastAsia="Times New Roman" w:hAnsi="Calibri" w:cs="Times New Roman"/>
                <w:bCs/>
                <w:color w:val="000000"/>
                <w:lang w:eastAsia="es-CR"/>
              </w:rPr>
              <w:t xml:space="preserve">e cargo fue ejercido del </w:t>
            </w:r>
            <w:r w:rsidR="00B735E5">
              <w:rPr>
                <w:rFonts w:ascii="Calibri" w:eastAsia="Times New Roman" w:hAnsi="Calibri" w:cs="Times New Roman"/>
                <w:bCs/>
                <w:color w:val="000000"/>
                <w:lang w:eastAsia="es-CR"/>
              </w:rPr>
              <w:t xml:space="preserve">13/05/2013 al </w:t>
            </w:r>
            <w:r w:rsidR="005745EF">
              <w:rPr>
                <w:rFonts w:ascii="Calibri" w:eastAsia="Times New Roman" w:hAnsi="Calibri" w:cs="Times New Roman"/>
                <w:bCs/>
                <w:color w:val="000000"/>
                <w:lang w:eastAsia="es-CR"/>
              </w:rPr>
              <w:t xml:space="preserve">08/05/2016. El informe resume las tareas ejecutadas, </w:t>
            </w:r>
            <w:r w:rsidR="00A87DF0">
              <w:rPr>
                <w:rFonts w:ascii="Calibri" w:eastAsia="Times New Roman" w:hAnsi="Calibri" w:cs="Times New Roman"/>
                <w:bCs/>
                <w:color w:val="000000"/>
                <w:lang w:eastAsia="es-CR"/>
              </w:rPr>
              <w:t xml:space="preserve">principales </w:t>
            </w:r>
            <w:r w:rsidR="005745EF">
              <w:rPr>
                <w:rFonts w:ascii="Calibri" w:eastAsia="Times New Roman" w:hAnsi="Calibri" w:cs="Times New Roman"/>
                <w:bCs/>
                <w:color w:val="000000"/>
                <w:lang w:eastAsia="es-CR"/>
              </w:rPr>
              <w:t>resultados obtenidos, proyectos en curso</w:t>
            </w:r>
            <w:r w:rsidR="00A87DF0">
              <w:rPr>
                <w:rFonts w:ascii="Calibri" w:eastAsia="Times New Roman" w:hAnsi="Calibri" w:cs="Times New Roman"/>
                <w:bCs/>
                <w:color w:val="000000"/>
                <w:lang w:eastAsia="es-CR"/>
              </w:rPr>
              <w:t>, sugerencias</w:t>
            </w:r>
            <w:r w:rsidR="005745EF">
              <w:rPr>
                <w:rFonts w:ascii="Calibri" w:eastAsia="Times New Roman" w:hAnsi="Calibri" w:cs="Times New Roman"/>
                <w:bCs/>
                <w:color w:val="000000"/>
                <w:lang w:eastAsia="es-CR"/>
              </w:rPr>
              <w:t xml:space="preserve"> y el cumplimiento de temas de control interno.</w:t>
            </w:r>
            <w:bookmarkEnd w:id="3"/>
            <w:bookmarkEnd w:id="4"/>
            <w:bookmarkEnd w:id="5"/>
            <w:bookmarkEnd w:id="6"/>
          </w:p>
          <w:p w:rsidR="005745EF" w:rsidRPr="00620A8E" w:rsidRDefault="005745EF" w:rsidP="00553EBB">
            <w:pPr>
              <w:pStyle w:val="Prrafodelista"/>
              <w:numPr>
                <w:ilvl w:val="0"/>
                <w:numId w:val="3"/>
              </w:numPr>
              <w:outlineLvl w:val="0"/>
              <w:rPr>
                <w:rFonts w:ascii="Calibri" w:eastAsia="Times New Roman" w:hAnsi="Calibri" w:cs="Times New Roman"/>
                <w:b/>
                <w:bCs/>
                <w:color w:val="000000"/>
                <w:lang w:eastAsia="es-CR"/>
              </w:rPr>
            </w:pPr>
            <w:bookmarkStart w:id="7" w:name="_Toc451425943"/>
            <w:bookmarkStart w:id="8" w:name="_Toc451426707"/>
            <w:r w:rsidRPr="00620A8E">
              <w:rPr>
                <w:rFonts w:ascii="Calibri" w:eastAsia="Times New Roman" w:hAnsi="Calibri" w:cs="Times New Roman"/>
                <w:b/>
                <w:bCs/>
                <w:color w:val="000000"/>
                <w:lang w:eastAsia="es-CR"/>
              </w:rPr>
              <w:t>Tareas ejecutadas</w:t>
            </w:r>
            <w:bookmarkEnd w:id="7"/>
            <w:bookmarkEnd w:id="8"/>
          </w:p>
          <w:p w:rsidR="005745EF" w:rsidRDefault="005745EF" w:rsidP="00C00BC0">
            <w:pPr>
              <w:jc w:val="both"/>
              <w:outlineLvl w:val="1"/>
              <w:rPr>
                <w:rFonts w:ascii="Calibri" w:eastAsia="Times New Roman" w:hAnsi="Calibri" w:cs="Times New Roman"/>
                <w:bCs/>
                <w:color w:val="000000"/>
                <w:lang w:eastAsia="es-CR"/>
              </w:rPr>
            </w:pPr>
            <w:bookmarkStart w:id="9" w:name="_Toc451425492"/>
            <w:bookmarkStart w:id="10" w:name="_Toc451425944"/>
            <w:bookmarkStart w:id="11" w:name="_Toc451426431"/>
            <w:bookmarkStart w:id="12" w:name="_Toc451426708"/>
            <w:r>
              <w:rPr>
                <w:rFonts w:ascii="Calibri" w:eastAsia="Times New Roman" w:hAnsi="Calibri" w:cs="Times New Roman"/>
                <w:bCs/>
                <w:color w:val="000000"/>
                <w:lang w:eastAsia="es-CR"/>
              </w:rPr>
              <w:t xml:space="preserve">Las </w:t>
            </w:r>
            <w:r w:rsidRPr="005745EF">
              <w:rPr>
                <w:rFonts w:ascii="Calibri" w:eastAsia="Times New Roman" w:hAnsi="Calibri" w:cs="Times New Roman"/>
                <w:bCs/>
                <w:color w:val="000000"/>
                <w:lang w:eastAsia="es-CR"/>
              </w:rPr>
              <w:t>t</w:t>
            </w:r>
            <w:r>
              <w:rPr>
                <w:rFonts w:ascii="Calibri" w:eastAsia="Times New Roman" w:hAnsi="Calibri" w:cs="Times New Roman"/>
                <w:bCs/>
                <w:color w:val="000000"/>
                <w:lang w:eastAsia="es-CR"/>
              </w:rPr>
              <w:t>a</w:t>
            </w:r>
            <w:r w:rsidRPr="005745EF">
              <w:rPr>
                <w:rFonts w:ascii="Calibri" w:eastAsia="Times New Roman" w:hAnsi="Calibri" w:cs="Times New Roman"/>
                <w:bCs/>
                <w:color w:val="000000"/>
                <w:lang w:eastAsia="es-CR"/>
              </w:rPr>
              <w:t>reas ejecutadas</w:t>
            </w:r>
            <w:r>
              <w:rPr>
                <w:rFonts w:ascii="Calibri" w:eastAsia="Times New Roman" w:hAnsi="Calibri" w:cs="Times New Roman"/>
                <w:bCs/>
                <w:color w:val="000000"/>
                <w:lang w:eastAsia="es-CR"/>
              </w:rPr>
              <w:t xml:space="preserve"> se enmarcan en lo establecido para el cargo de Asesor Técnico </w:t>
            </w:r>
            <w:r w:rsidR="00A87DF0">
              <w:rPr>
                <w:rFonts w:ascii="Calibri" w:eastAsia="Times New Roman" w:hAnsi="Calibri" w:cs="Times New Roman"/>
                <w:bCs/>
                <w:color w:val="000000"/>
                <w:lang w:eastAsia="es-CR"/>
              </w:rPr>
              <w:t>3</w:t>
            </w:r>
            <w:r w:rsidR="00A87DF0">
              <w:rPr>
                <w:rFonts w:ascii="Calibri" w:eastAsia="Times New Roman" w:hAnsi="Calibri" w:cs="Times New Roman"/>
                <w:bCs/>
                <w:color w:val="000000"/>
                <w:lang w:eastAsia="es-CR"/>
              </w:rPr>
              <w:t xml:space="preserve"> del Intendente</w:t>
            </w:r>
            <w:r>
              <w:rPr>
                <w:rFonts w:ascii="Calibri" w:eastAsia="Times New Roman" w:hAnsi="Calibri" w:cs="Times New Roman"/>
                <w:bCs/>
                <w:color w:val="000000"/>
                <w:lang w:eastAsia="es-CR"/>
              </w:rPr>
              <w:t xml:space="preserve"> en el Manual Descriptivo de Cargos de Aresep.</w:t>
            </w:r>
            <w:bookmarkEnd w:id="9"/>
            <w:bookmarkEnd w:id="10"/>
            <w:bookmarkEnd w:id="11"/>
            <w:bookmarkEnd w:id="12"/>
          </w:p>
          <w:p w:rsidR="009F478C" w:rsidRPr="00620A8E" w:rsidRDefault="001B347F" w:rsidP="00553EBB">
            <w:pPr>
              <w:pStyle w:val="Prrafodelista"/>
              <w:numPr>
                <w:ilvl w:val="0"/>
                <w:numId w:val="3"/>
              </w:numPr>
              <w:outlineLvl w:val="0"/>
              <w:rPr>
                <w:rFonts w:ascii="Calibri" w:eastAsia="Times New Roman" w:hAnsi="Calibri" w:cs="Times New Roman"/>
                <w:b/>
                <w:bCs/>
                <w:color w:val="000000"/>
                <w:lang w:eastAsia="es-CR"/>
              </w:rPr>
            </w:pPr>
            <w:bookmarkStart w:id="13" w:name="_Toc451425945"/>
            <w:bookmarkStart w:id="14" w:name="_Toc451426709"/>
            <w:r w:rsidRPr="00620A8E">
              <w:rPr>
                <w:rFonts w:ascii="Calibri" w:eastAsia="Times New Roman" w:hAnsi="Calibri" w:cs="Times New Roman"/>
                <w:b/>
                <w:bCs/>
                <w:color w:val="000000"/>
                <w:lang w:eastAsia="es-CR"/>
              </w:rPr>
              <w:t>Principales r</w:t>
            </w:r>
            <w:r w:rsidR="009F478C" w:rsidRPr="00620A8E">
              <w:rPr>
                <w:rFonts w:ascii="Calibri" w:eastAsia="Times New Roman" w:hAnsi="Calibri" w:cs="Times New Roman"/>
                <w:b/>
                <w:bCs/>
                <w:color w:val="000000"/>
                <w:lang w:eastAsia="es-CR"/>
              </w:rPr>
              <w:t>esultados</w:t>
            </w:r>
            <w:bookmarkEnd w:id="13"/>
            <w:bookmarkEnd w:id="14"/>
          </w:p>
          <w:p w:rsidR="009F478C" w:rsidRDefault="009F478C" w:rsidP="00C00BC0">
            <w:pPr>
              <w:jc w:val="both"/>
              <w:outlineLvl w:val="1"/>
              <w:rPr>
                <w:rFonts w:ascii="Calibri" w:eastAsia="Times New Roman" w:hAnsi="Calibri" w:cs="Times New Roman"/>
                <w:bCs/>
                <w:color w:val="000000"/>
                <w:lang w:eastAsia="es-CR"/>
              </w:rPr>
            </w:pPr>
            <w:bookmarkStart w:id="15" w:name="_Toc451425494"/>
            <w:bookmarkStart w:id="16" w:name="_Toc451425946"/>
            <w:bookmarkStart w:id="17" w:name="_Toc451426433"/>
            <w:bookmarkStart w:id="18" w:name="_Toc451426710"/>
            <w:r>
              <w:rPr>
                <w:rFonts w:ascii="Calibri" w:eastAsia="Times New Roman" w:hAnsi="Calibri" w:cs="Times New Roman"/>
                <w:bCs/>
                <w:color w:val="000000"/>
                <w:lang w:eastAsia="es-CR"/>
              </w:rPr>
              <w:t>Los resultados se presentan en e</w:t>
            </w:r>
            <w:r w:rsidR="00355F6D">
              <w:rPr>
                <w:rFonts w:ascii="Calibri" w:eastAsia="Times New Roman" w:hAnsi="Calibri" w:cs="Times New Roman"/>
                <w:bCs/>
                <w:color w:val="000000"/>
                <w:lang w:eastAsia="es-CR"/>
              </w:rPr>
              <w:t>l contexto del quehace</w:t>
            </w:r>
            <w:r w:rsidR="00A87DF0">
              <w:rPr>
                <w:rFonts w:ascii="Calibri" w:eastAsia="Times New Roman" w:hAnsi="Calibri" w:cs="Times New Roman"/>
                <w:bCs/>
                <w:color w:val="000000"/>
                <w:lang w:eastAsia="es-CR"/>
              </w:rPr>
              <w:t>r general, prioridades y metas</w:t>
            </w:r>
            <w:r w:rsidR="00355F6D">
              <w:rPr>
                <w:rFonts w:ascii="Calibri" w:eastAsia="Times New Roman" w:hAnsi="Calibri" w:cs="Times New Roman"/>
                <w:bCs/>
                <w:color w:val="000000"/>
                <w:lang w:eastAsia="es-CR"/>
              </w:rPr>
              <w:t xml:space="preserve"> </w:t>
            </w:r>
            <w:r>
              <w:rPr>
                <w:rFonts w:ascii="Calibri" w:eastAsia="Times New Roman" w:hAnsi="Calibri" w:cs="Times New Roman"/>
                <w:bCs/>
                <w:color w:val="000000"/>
                <w:lang w:eastAsia="es-CR"/>
              </w:rPr>
              <w:t>de la Intendencia de Agua de Aresep</w:t>
            </w:r>
            <w:r w:rsidR="005D547D">
              <w:rPr>
                <w:rFonts w:ascii="Calibri" w:eastAsia="Times New Roman" w:hAnsi="Calibri" w:cs="Times New Roman"/>
                <w:bCs/>
                <w:color w:val="000000"/>
                <w:lang w:eastAsia="es-CR"/>
              </w:rPr>
              <w:t xml:space="preserve">, </w:t>
            </w:r>
            <w:r w:rsidR="00355F6D">
              <w:rPr>
                <w:rFonts w:ascii="Calibri" w:eastAsia="Times New Roman" w:hAnsi="Calibri" w:cs="Times New Roman"/>
                <w:bCs/>
                <w:color w:val="000000"/>
                <w:lang w:eastAsia="es-CR"/>
              </w:rPr>
              <w:t xml:space="preserve">las cuáles fueron </w:t>
            </w:r>
            <w:r w:rsidR="005D547D">
              <w:rPr>
                <w:rFonts w:ascii="Calibri" w:eastAsia="Times New Roman" w:hAnsi="Calibri" w:cs="Times New Roman"/>
                <w:bCs/>
                <w:color w:val="000000"/>
                <w:lang w:eastAsia="es-CR"/>
              </w:rPr>
              <w:t>establecid</w:t>
            </w:r>
            <w:r w:rsidR="00355F6D">
              <w:rPr>
                <w:rFonts w:ascii="Calibri" w:eastAsia="Times New Roman" w:hAnsi="Calibri" w:cs="Times New Roman"/>
                <w:bCs/>
                <w:color w:val="000000"/>
                <w:lang w:eastAsia="es-CR"/>
              </w:rPr>
              <w:t>as</w:t>
            </w:r>
            <w:r w:rsidR="005D547D">
              <w:rPr>
                <w:rFonts w:ascii="Calibri" w:eastAsia="Times New Roman" w:hAnsi="Calibri" w:cs="Times New Roman"/>
                <w:bCs/>
                <w:color w:val="000000"/>
                <w:lang w:eastAsia="es-CR"/>
              </w:rPr>
              <w:t xml:space="preserve"> </w:t>
            </w:r>
            <w:r w:rsidR="00355F6D">
              <w:rPr>
                <w:rFonts w:ascii="Calibri" w:eastAsia="Times New Roman" w:hAnsi="Calibri" w:cs="Times New Roman"/>
                <w:bCs/>
                <w:color w:val="000000"/>
                <w:lang w:eastAsia="es-CR"/>
              </w:rPr>
              <w:t xml:space="preserve">por </w:t>
            </w:r>
            <w:r w:rsidR="005D547D">
              <w:rPr>
                <w:rFonts w:ascii="Calibri" w:eastAsia="Times New Roman" w:hAnsi="Calibri" w:cs="Times New Roman"/>
                <w:bCs/>
                <w:color w:val="000000"/>
                <w:lang w:eastAsia="es-CR"/>
              </w:rPr>
              <w:t xml:space="preserve">el Intendente en el documento </w:t>
            </w:r>
            <w:r w:rsidR="00A87DF0">
              <w:rPr>
                <w:rFonts w:ascii="Calibri" w:eastAsia="Times New Roman" w:hAnsi="Calibri" w:cs="Times New Roman"/>
                <w:bCs/>
                <w:color w:val="000000"/>
                <w:lang w:eastAsia="es-CR"/>
              </w:rPr>
              <w:t>“</w:t>
            </w:r>
            <w:r w:rsidR="00355F6D">
              <w:rPr>
                <w:rFonts w:ascii="Calibri" w:eastAsia="Times New Roman" w:hAnsi="Calibri" w:cs="Times New Roman"/>
                <w:bCs/>
                <w:color w:val="000000"/>
                <w:lang w:eastAsia="es-CR"/>
              </w:rPr>
              <w:t>Retos de la Intendencia de Agua para el Año 2016</w:t>
            </w:r>
            <w:r w:rsidR="00A87DF0">
              <w:rPr>
                <w:rFonts w:ascii="Calibri" w:eastAsia="Times New Roman" w:hAnsi="Calibri" w:cs="Times New Roman"/>
                <w:bCs/>
                <w:color w:val="000000"/>
                <w:lang w:eastAsia="es-CR"/>
              </w:rPr>
              <w:t>”</w:t>
            </w:r>
            <w:r w:rsidR="00355F6D">
              <w:rPr>
                <w:rFonts w:ascii="Calibri" w:eastAsia="Times New Roman" w:hAnsi="Calibri" w:cs="Times New Roman"/>
                <w:bCs/>
                <w:color w:val="000000"/>
                <w:lang w:eastAsia="es-CR"/>
              </w:rPr>
              <w:t xml:space="preserve"> (Ver Anexo 1)</w:t>
            </w:r>
            <w:r>
              <w:rPr>
                <w:rFonts w:ascii="Calibri" w:eastAsia="Times New Roman" w:hAnsi="Calibri" w:cs="Times New Roman"/>
                <w:bCs/>
                <w:color w:val="000000"/>
                <w:lang w:eastAsia="es-CR"/>
              </w:rPr>
              <w:t>. El resumen de los resultados principales se agrupa por tema y se describe a continuación.</w:t>
            </w:r>
            <w:bookmarkEnd w:id="15"/>
            <w:bookmarkEnd w:id="16"/>
            <w:bookmarkEnd w:id="17"/>
            <w:bookmarkEnd w:id="18"/>
          </w:p>
          <w:p w:rsidR="00A242F7" w:rsidRPr="00C00BC0"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19" w:name="_Toc451425947"/>
            <w:bookmarkStart w:id="20" w:name="_Toc451426711"/>
            <w:r w:rsidRPr="00C00BC0">
              <w:rPr>
                <w:rFonts w:ascii="Calibri" w:eastAsia="Times New Roman" w:hAnsi="Calibri" w:cs="Times New Roman"/>
                <w:b/>
                <w:bCs/>
                <w:color w:val="000000"/>
                <w:lang w:eastAsia="es-CR"/>
              </w:rPr>
              <w:t>Política tarifaria y modelos tarifarios</w:t>
            </w:r>
            <w:bookmarkEnd w:id="19"/>
            <w:bookmarkEnd w:id="20"/>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DA5942" w:rsidRDefault="00DA5942"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i/>
                <w:color w:val="000000"/>
                <w:lang w:eastAsia="es-CR"/>
              </w:rPr>
              <w:t xml:space="preserve">a.1. </w:t>
            </w:r>
            <w:r w:rsidR="00A242F7" w:rsidRPr="00DA5942">
              <w:rPr>
                <w:rFonts w:ascii="Calibri" w:eastAsia="Times New Roman" w:hAnsi="Calibri" w:cs="Times New Roman"/>
                <w:i/>
                <w:color w:val="000000"/>
                <w:lang w:eastAsia="es-CR"/>
              </w:rPr>
              <w:t xml:space="preserve">Propuesta de estructura y alcance de una política tarifaria y de </w:t>
            </w:r>
            <w:r w:rsidR="009F478C" w:rsidRPr="00DA5942">
              <w:rPr>
                <w:rFonts w:ascii="Calibri" w:eastAsia="Times New Roman" w:hAnsi="Calibri" w:cs="Times New Roman"/>
                <w:i/>
                <w:color w:val="000000"/>
                <w:lang w:eastAsia="es-CR"/>
              </w:rPr>
              <w:t>variables transversales</w:t>
            </w:r>
            <w:r w:rsidR="009F478C">
              <w:rPr>
                <w:rFonts w:ascii="Calibri" w:eastAsia="Times New Roman" w:hAnsi="Calibri" w:cs="Times New Roman"/>
                <w:color w:val="000000"/>
                <w:lang w:eastAsia="es-CR"/>
              </w:rPr>
              <w:t>.</w:t>
            </w:r>
            <w:r>
              <w:rPr>
                <w:rFonts w:ascii="Calibri" w:eastAsia="Times New Roman" w:hAnsi="Calibri" w:cs="Times New Roman"/>
                <w:color w:val="000000"/>
                <w:lang w:eastAsia="es-CR"/>
              </w:rPr>
              <w:t xml:space="preserve"> </w:t>
            </w:r>
          </w:p>
          <w:p w:rsidR="00DA5942" w:rsidRDefault="00DA5942" w:rsidP="009F478C">
            <w:pPr>
              <w:spacing w:after="0" w:line="240" w:lineRule="auto"/>
              <w:jc w:val="both"/>
              <w:rPr>
                <w:rFonts w:ascii="Calibri" w:eastAsia="Times New Roman" w:hAnsi="Calibri" w:cs="Times New Roman"/>
                <w:color w:val="000000"/>
                <w:lang w:eastAsia="es-CR"/>
              </w:rPr>
            </w:pPr>
          </w:p>
          <w:p w:rsidR="00A242F7" w:rsidRDefault="00DA5942"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Es necesario estandarizar el tratamiento regulatorio que se da</w:t>
            </w:r>
            <w:r w:rsidR="00A87DF0">
              <w:rPr>
                <w:rFonts w:ascii="Calibri" w:eastAsia="Times New Roman" w:hAnsi="Calibri" w:cs="Times New Roman"/>
                <w:color w:val="000000"/>
                <w:lang w:eastAsia="es-CR"/>
              </w:rPr>
              <w:t xml:space="preserve"> a las variables transversales -</w:t>
            </w:r>
            <w:r>
              <w:rPr>
                <w:rFonts w:ascii="Calibri" w:eastAsia="Times New Roman" w:hAnsi="Calibri" w:cs="Times New Roman"/>
                <w:color w:val="000000"/>
                <w:lang w:eastAsia="es-CR"/>
              </w:rPr>
              <w:t xml:space="preserve">aquellas que están presentes en varias metodologías y en las tres intendencias-. El objetivo es asegurar un manejo uniforme y consistente de variables tales como </w:t>
            </w:r>
            <w:r w:rsidR="00A87DF0">
              <w:rPr>
                <w:rFonts w:ascii="Calibri" w:eastAsia="Times New Roman" w:hAnsi="Calibri" w:cs="Times New Roman"/>
                <w:color w:val="000000"/>
                <w:lang w:eastAsia="es-CR"/>
              </w:rPr>
              <w:t>la inflación,</w:t>
            </w:r>
            <w:r>
              <w:rPr>
                <w:rFonts w:ascii="Calibri" w:eastAsia="Times New Roman" w:hAnsi="Calibri" w:cs="Times New Roman"/>
                <w:color w:val="000000"/>
                <w:lang w:eastAsia="es-CR"/>
              </w:rPr>
              <w:t xml:space="preserve"> otros índices de precios, el tipo de cambio, el costo de capital, la base tarifaria, etc. (Ver Anexo </w:t>
            </w:r>
            <w:r w:rsidR="00355F6D">
              <w:rPr>
                <w:rFonts w:ascii="Calibri" w:eastAsia="Times New Roman" w:hAnsi="Calibri" w:cs="Times New Roman"/>
                <w:color w:val="000000"/>
                <w:lang w:eastAsia="es-CR"/>
              </w:rPr>
              <w:t>2</w:t>
            </w:r>
            <w:r>
              <w:rPr>
                <w:rFonts w:ascii="Calibri" w:eastAsia="Times New Roman" w:hAnsi="Calibri" w:cs="Times New Roman"/>
                <w:color w:val="000000"/>
                <w:lang w:eastAsia="es-CR"/>
              </w:rPr>
              <w:t>).</w:t>
            </w:r>
          </w:p>
          <w:p w:rsidR="00DA5942" w:rsidRDefault="00DA5942" w:rsidP="009F478C">
            <w:pPr>
              <w:spacing w:after="0" w:line="240" w:lineRule="auto"/>
              <w:jc w:val="both"/>
              <w:rPr>
                <w:rFonts w:ascii="Calibri" w:eastAsia="Times New Roman" w:hAnsi="Calibri" w:cs="Times New Roman"/>
                <w:color w:val="000000"/>
                <w:lang w:eastAsia="es-CR"/>
              </w:rPr>
            </w:pPr>
          </w:p>
          <w:p w:rsidR="00DA5942" w:rsidRPr="00A242F7" w:rsidRDefault="00DA5942" w:rsidP="00DA5942">
            <w:pPr>
              <w:spacing w:after="0" w:line="240" w:lineRule="auto"/>
              <w:jc w:val="both"/>
              <w:rPr>
                <w:rFonts w:ascii="Calibri" w:eastAsia="Times New Roman" w:hAnsi="Calibri" w:cs="Times New Roman"/>
                <w:color w:val="000000"/>
                <w:lang w:eastAsia="es-CR"/>
              </w:rPr>
            </w:pPr>
            <w:r w:rsidRPr="00DA5942">
              <w:rPr>
                <w:rFonts w:ascii="Calibri" w:eastAsia="Times New Roman" w:hAnsi="Calibri" w:cs="Times New Roman"/>
                <w:i/>
                <w:color w:val="000000"/>
                <w:lang w:eastAsia="es-CR"/>
              </w:rPr>
              <w:t>a.2. Modelo tarifario de</w:t>
            </w:r>
            <w:r>
              <w:rPr>
                <w:rFonts w:ascii="Calibri" w:eastAsia="Times New Roman" w:hAnsi="Calibri" w:cs="Times New Roman"/>
                <w:i/>
                <w:color w:val="000000"/>
                <w:lang w:eastAsia="es-CR"/>
              </w:rPr>
              <w:t xml:space="preserve"> </w:t>
            </w:r>
            <w:r w:rsidRPr="00DA5942">
              <w:rPr>
                <w:rFonts w:ascii="Calibri" w:eastAsia="Times New Roman" w:hAnsi="Calibri" w:cs="Times New Roman"/>
                <w:i/>
                <w:color w:val="000000"/>
                <w:lang w:eastAsia="es-CR"/>
              </w:rPr>
              <w:t>servicios de agua</w:t>
            </w:r>
            <w:r>
              <w:rPr>
                <w:rFonts w:ascii="Calibri" w:eastAsia="Times New Roman" w:hAnsi="Calibri" w:cs="Times New Roman"/>
                <w:i/>
                <w:color w:val="000000"/>
                <w:lang w:eastAsia="es-CR"/>
              </w:rPr>
              <w:t>.</w:t>
            </w:r>
          </w:p>
        </w:tc>
      </w:tr>
      <w:tr w:rsidR="00A242F7" w:rsidRPr="00A242F7" w:rsidTr="00A242F7">
        <w:trPr>
          <w:trHeight w:val="864"/>
        </w:trPr>
        <w:tc>
          <w:tcPr>
            <w:tcW w:w="8480" w:type="dxa"/>
            <w:tcBorders>
              <w:top w:val="nil"/>
              <w:left w:val="nil"/>
              <w:bottom w:val="nil"/>
              <w:right w:val="nil"/>
            </w:tcBorders>
            <w:shd w:val="clear" w:color="auto" w:fill="auto"/>
            <w:vAlign w:val="bottom"/>
            <w:hideMark/>
          </w:tcPr>
          <w:p w:rsidR="009F478C" w:rsidRDefault="009F478C" w:rsidP="009F478C">
            <w:pPr>
              <w:spacing w:after="0" w:line="240" w:lineRule="auto"/>
              <w:jc w:val="both"/>
              <w:rPr>
                <w:rFonts w:ascii="Calibri" w:eastAsia="Times New Roman" w:hAnsi="Calibri" w:cs="Times New Roman"/>
                <w:color w:val="000000"/>
                <w:lang w:eastAsia="es-CR"/>
              </w:rPr>
            </w:pPr>
          </w:p>
          <w:p w:rsidR="00A242F7" w:rsidRPr="00A242F7" w:rsidRDefault="00DA5942" w:rsidP="00A87DF0">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El suscrito coordinó la comisión que desarrolló la propuesta de </w:t>
            </w:r>
            <w:r w:rsidR="00A87DF0">
              <w:rPr>
                <w:rFonts w:ascii="Calibri" w:eastAsia="Times New Roman" w:hAnsi="Calibri" w:cs="Times New Roman"/>
                <w:color w:val="000000"/>
                <w:lang w:eastAsia="es-CR"/>
              </w:rPr>
              <w:t>“</w:t>
            </w:r>
            <w:r w:rsidR="00A242F7" w:rsidRPr="00A242F7">
              <w:rPr>
                <w:rFonts w:ascii="Calibri" w:eastAsia="Times New Roman" w:hAnsi="Calibri" w:cs="Times New Roman"/>
                <w:color w:val="000000"/>
                <w:lang w:eastAsia="es-CR"/>
              </w:rPr>
              <w:t>Modelo tarifario de acueduct</w:t>
            </w:r>
            <w:r>
              <w:rPr>
                <w:rFonts w:ascii="Calibri" w:eastAsia="Times New Roman" w:hAnsi="Calibri" w:cs="Times New Roman"/>
                <w:color w:val="000000"/>
                <w:lang w:eastAsia="es-CR"/>
              </w:rPr>
              <w:t xml:space="preserve">os, alcantarillados, hidrantes y del </w:t>
            </w:r>
            <w:r w:rsidR="00A242F7" w:rsidRPr="00A242F7">
              <w:rPr>
                <w:rFonts w:ascii="Calibri" w:eastAsia="Times New Roman" w:hAnsi="Calibri" w:cs="Times New Roman"/>
                <w:color w:val="000000"/>
                <w:lang w:eastAsia="es-CR"/>
              </w:rPr>
              <w:t xml:space="preserve">programa de </w:t>
            </w:r>
            <w:r w:rsidRPr="00A242F7">
              <w:rPr>
                <w:rFonts w:ascii="Calibri" w:eastAsia="Times New Roman" w:hAnsi="Calibri" w:cs="Times New Roman"/>
                <w:color w:val="000000"/>
                <w:lang w:eastAsia="es-CR"/>
              </w:rPr>
              <w:t>protección de</w:t>
            </w:r>
            <w:r w:rsidR="00A242F7" w:rsidRPr="00A242F7">
              <w:rPr>
                <w:rFonts w:ascii="Calibri" w:eastAsia="Times New Roman" w:hAnsi="Calibri" w:cs="Times New Roman"/>
                <w:color w:val="000000"/>
                <w:lang w:eastAsia="es-CR"/>
              </w:rPr>
              <w:t xml:space="preserve"> recurso hídricos</w:t>
            </w:r>
            <w:r w:rsidR="00A87DF0">
              <w:rPr>
                <w:rFonts w:ascii="Calibri" w:eastAsia="Times New Roman" w:hAnsi="Calibri" w:cs="Times New Roman"/>
                <w:color w:val="000000"/>
                <w:lang w:eastAsia="es-CR"/>
              </w:rPr>
              <w:t>”</w:t>
            </w:r>
            <w:r>
              <w:rPr>
                <w:rFonts w:ascii="Calibri" w:eastAsia="Times New Roman" w:hAnsi="Calibri" w:cs="Times New Roman"/>
                <w:color w:val="000000"/>
                <w:lang w:eastAsia="es-CR"/>
              </w:rPr>
              <w:t xml:space="preserve">. </w:t>
            </w:r>
            <w:r w:rsidR="00A242F7" w:rsidRPr="00A242F7">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Este modelo incorpora innovaciones tales </w:t>
            </w:r>
            <w:r w:rsidR="00A87DF0">
              <w:rPr>
                <w:rFonts w:ascii="Calibri" w:eastAsia="Times New Roman" w:hAnsi="Calibri" w:cs="Times New Roman"/>
                <w:color w:val="000000"/>
                <w:lang w:eastAsia="es-CR"/>
              </w:rPr>
              <w:t xml:space="preserve">como </w:t>
            </w:r>
            <w:r>
              <w:rPr>
                <w:rFonts w:ascii="Calibri" w:eastAsia="Times New Roman" w:hAnsi="Calibri" w:cs="Times New Roman"/>
                <w:color w:val="000000"/>
                <w:lang w:eastAsia="es-CR"/>
              </w:rPr>
              <w:t xml:space="preserve">un </w:t>
            </w:r>
            <w:r w:rsidR="00A242F7" w:rsidRPr="00A242F7">
              <w:rPr>
                <w:rFonts w:ascii="Calibri" w:eastAsia="Times New Roman" w:hAnsi="Calibri" w:cs="Times New Roman"/>
                <w:color w:val="000000"/>
                <w:lang w:eastAsia="es-CR"/>
              </w:rPr>
              <w:t xml:space="preserve">enfoque </w:t>
            </w:r>
            <w:r>
              <w:rPr>
                <w:rFonts w:ascii="Calibri" w:eastAsia="Times New Roman" w:hAnsi="Calibri" w:cs="Times New Roman"/>
                <w:color w:val="000000"/>
                <w:lang w:eastAsia="es-CR"/>
              </w:rPr>
              <w:t>basado en necesidades efectivo, recurso</w:t>
            </w:r>
            <w:r w:rsidR="00A87DF0">
              <w:rPr>
                <w:rFonts w:ascii="Calibri" w:eastAsia="Times New Roman" w:hAnsi="Calibri" w:cs="Times New Roman"/>
                <w:color w:val="000000"/>
                <w:lang w:eastAsia="es-CR"/>
              </w:rPr>
              <w:t>s</w:t>
            </w:r>
            <w:r>
              <w:rPr>
                <w:rFonts w:ascii="Calibri" w:eastAsia="Times New Roman" w:hAnsi="Calibri" w:cs="Times New Roman"/>
                <w:color w:val="000000"/>
                <w:lang w:eastAsia="es-CR"/>
              </w:rPr>
              <w:t xml:space="preserve"> para la protección de </w:t>
            </w:r>
            <w:r w:rsidR="00A87DF0">
              <w:rPr>
                <w:rFonts w:ascii="Calibri" w:eastAsia="Times New Roman" w:hAnsi="Calibri" w:cs="Times New Roman"/>
                <w:color w:val="000000"/>
                <w:lang w:eastAsia="es-CR"/>
              </w:rPr>
              <w:t>las cuencas</w:t>
            </w:r>
            <w:r w:rsidR="00A242F7" w:rsidRPr="00A242F7">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criterios de </w:t>
            </w:r>
            <w:r w:rsidR="00A242F7" w:rsidRPr="00A242F7">
              <w:rPr>
                <w:rFonts w:ascii="Calibri" w:eastAsia="Times New Roman" w:hAnsi="Calibri" w:cs="Times New Roman"/>
                <w:color w:val="000000"/>
                <w:lang w:eastAsia="es-CR"/>
              </w:rPr>
              <w:t xml:space="preserve">eficiencia, </w:t>
            </w:r>
            <w:r>
              <w:rPr>
                <w:rFonts w:ascii="Calibri" w:eastAsia="Times New Roman" w:hAnsi="Calibri" w:cs="Times New Roman"/>
                <w:color w:val="000000"/>
                <w:lang w:eastAsia="es-CR"/>
              </w:rPr>
              <w:t xml:space="preserve">lineamientos para el manejo de los fondos destinados a </w:t>
            </w:r>
            <w:r w:rsidR="00A242F7" w:rsidRPr="00A242F7">
              <w:rPr>
                <w:rFonts w:ascii="Calibri" w:eastAsia="Times New Roman" w:hAnsi="Calibri" w:cs="Times New Roman"/>
                <w:color w:val="000000"/>
                <w:lang w:eastAsia="es-CR"/>
              </w:rPr>
              <w:t>inversi</w:t>
            </w:r>
            <w:r>
              <w:rPr>
                <w:rFonts w:ascii="Calibri" w:eastAsia="Times New Roman" w:hAnsi="Calibri" w:cs="Times New Roman"/>
                <w:color w:val="000000"/>
                <w:lang w:eastAsia="es-CR"/>
              </w:rPr>
              <w:t>ón</w:t>
            </w:r>
            <w:r w:rsidR="00A242F7" w:rsidRPr="00A242F7">
              <w:rPr>
                <w:rFonts w:ascii="Calibri" w:eastAsia="Times New Roman" w:hAnsi="Calibri" w:cs="Times New Roman"/>
                <w:color w:val="000000"/>
                <w:lang w:eastAsia="es-CR"/>
              </w:rPr>
              <w:t>, devoluciones a abonados</w:t>
            </w:r>
            <w:r>
              <w:rPr>
                <w:rFonts w:ascii="Calibri" w:eastAsia="Times New Roman" w:hAnsi="Calibri" w:cs="Times New Roman"/>
                <w:color w:val="000000"/>
                <w:lang w:eastAsia="es-CR"/>
              </w:rPr>
              <w:t xml:space="preserve"> de recursos no ejecutados</w:t>
            </w:r>
            <w:r w:rsidR="00A242F7" w:rsidRPr="00A242F7">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manejo de </w:t>
            </w:r>
            <w:r w:rsidR="00A242F7" w:rsidRPr="00A242F7">
              <w:rPr>
                <w:rFonts w:ascii="Calibri" w:eastAsia="Times New Roman" w:hAnsi="Calibri" w:cs="Times New Roman"/>
                <w:color w:val="000000"/>
                <w:lang w:eastAsia="es-CR"/>
              </w:rPr>
              <w:t>gastos</w:t>
            </w:r>
            <w:r>
              <w:rPr>
                <w:rFonts w:ascii="Calibri" w:eastAsia="Times New Roman" w:hAnsi="Calibri" w:cs="Times New Roman"/>
                <w:color w:val="000000"/>
                <w:lang w:eastAsia="es-CR"/>
              </w:rPr>
              <w:t xml:space="preserve"> indirectos, gestión de riesgos y otros. (Ver Anexo </w:t>
            </w:r>
            <w:r w:rsidR="00355F6D">
              <w:rPr>
                <w:rFonts w:ascii="Calibri" w:eastAsia="Times New Roman" w:hAnsi="Calibri" w:cs="Times New Roman"/>
                <w:color w:val="000000"/>
                <w:lang w:eastAsia="es-CR"/>
              </w:rPr>
              <w:t>3</w:t>
            </w:r>
            <w:r>
              <w:rPr>
                <w:rFonts w:ascii="Calibri" w:eastAsia="Times New Roman" w:hAnsi="Calibri" w:cs="Times New Roman"/>
                <w:color w:val="000000"/>
                <w:lang w:eastAsia="es-CR"/>
              </w:rPr>
              <w:t>).</w:t>
            </w:r>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Default="009F478C" w:rsidP="005745EF">
            <w:pPr>
              <w:spacing w:after="0" w:line="240" w:lineRule="auto"/>
              <w:ind w:firstLineChars="100" w:firstLine="220"/>
              <w:jc w:val="both"/>
              <w:rPr>
                <w:rFonts w:ascii="Calibri" w:eastAsia="Times New Roman" w:hAnsi="Calibri" w:cs="Times New Roman"/>
                <w:color w:val="000000"/>
                <w:lang w:eastAsia="es-CR"/>
              </w:rPr>
            </w:pPr>
          </w:p>
          <w:p w:rsidR="00A242F7" w:rsidRPr="00A242F7" w:rsidRDefault="00DA5942" w:rsidP="00A87DF0">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Un</w:t>
            </w:r>
            <w:r w:rsidR="00436E2A">
              <w:rPr>
                <w:rFonts w:ascii="Calibri" w:eastAsia="Times New Roman" w:hAnsi="Calibri" w:cs="Times New Roman"/>
                <w:color w:val="000000"/>
                <w:lang w:eastAsia="es-CR"/>
              </w:rPr>
              <w:t>a</w:t>
            </w:r>
            <w:r>
              <w:rPr>
                <w:rFonts w:ascii="Calibri" w:eastAsia="Times New Roman" w:hAnsi="Calibri" w:cs="Times New Roman"/>
                <w:color w:val="000000"/>
                <w:lang w:eastAsia="es-CR"/>
              </w:rPr>
              <w:t xml:space="preserve"> tarea importante fue la preparación de los i</w:t>
            </w:r>
            <w:r w:rsidR="00A242F7" w:rsidRPr="00A242F7">
              <w:rPr>
                <w:rFonts w:ascii="Calibri" w:eastAsia="Times New Roman" w:hAnsi="Calibri" w:cs="Times New Roman"/>
                <w:color w:val="000000"/>
                <w:lang w:eastAsia="es-CR"/>
              </w:rPr>
              <w:t xml:space="preserve">nformes de respuesta a </w:t>
            </w:r>
            <w:r w:rsidR="00A87DF0">
              <w:rPr>
                <w:rFonts w:ascii="Calibri" w:eastAsia="Times New Roman" w:hAnsi="Calibri" w:cs="Times New Roman"/>
                <w:color w:val="000000"/>
                <w:lang w:eastAsia="es-CR"/>
              </w:rPr>
              <w:t xml:space="preserve">las </w:t>
            </w:r>
            <w:r w:rsidR="00A242F7" w:rsidRPr="00A242F7">
              <w:rPr>
                <w:rFonts w:ascii="Calibri" w:eastAsia="Times New Roman" w:hAnsi="Calibri" w:cs="Times New Roman"/>
                <w:color w:val="000000"/>
                <w:lang w:eastAsia="es-CR"/>
              </w:rPr>
              <w:t>oposicion</w:t>
            </w:r>
            <w:r w:rsidR="00A87DF0">
              <w:rPr>
                <w:rFonts w:ascii="Calibri" w:eastAsia="Times New Roman" w:hAnsi="Calibri" w:cs="Times New Roman"/>
                <w:color w:val="000000"/>
                <w:lang w:eastAsia="es-CR"/>
              </w:rPr>
              <w:t xml:space="preserve">es presentadas en las audiencias públicas </w:t>
            </w:r>
            <w:r w:rsidR="00A242F7" w:rsidRPr="00A242F7">
              <w:rPr>
                <w:rFonts w:ascii="Calibri" w:eastAsia="Times New Roman" w:hAnsi="Calibri" w:cs="Times New Roman"/>
                <w:color w:val="000000"/>
                <w:lang w:eastAsia="es-CR"/>
              </w:rPr>
              <w:t xml:space="preserve">y </w:t>
            </w:r>
            <w:r>
              <w:rPr>
                <w:rFonts w:ascii="Calibri" w:eastAsia="Times New Roman" w:hAnsi="Calibri" w:cs="Times New Roman"/>
                <w:color w:val="000000"/>
                <w:lang w:eastAsia="es-CR"/>
              </w:rPr>
              <w:t xml:space="preserve">la </w:t>
            </w:r>
            <w:r w:rsidR="00A242F7" w:rsidRPr="00A242F7">
              <w:rPr>
                <w:rFonts w:ascii="Calibri" w:eastAsia="Times New Roman" w:hAnsi="Calibri" w:cs="Times New Roman"/>
                <w:color w:val="000000"/>
                <w:lang w:eastAsia="es-CR"/>
              </w:rPr>
              <w:t xml:space="preserve">elaboración de </w:t>
            </w:r>
            <w:r>
              <w:rPr>
                <w:rFonts w:ascii="Calibri" w:eastAsia="Times New Roman" w:hAnsi="Calibri" w:cs="Times New Roman"/>
                <w:color w:val="000000"/>
                <w:lang w:eastAsia="es-CR"/>
              </w:rPr>
              <w:t xml:space="preserve">las correspondientes </w:t>
            </w:r>
            <w:r w:rsidR="00A242F7" w:rsidRPr="00A242F7">
              <w:rPr>
                <w:rFonts w:ascii="Calibri" w:eastAsia="Times New Roman" w:hAnsi="Calibri" w:cs="Times New Roman"/>
                <w:color w:val="000000"/>
                <w:lang w:eastAsia="es-CR"/>
              </w:rPr>
              <w:t xml:space="preserve">resoluciones </w:t>
            </w:r>
            <w:r>
              <w:rPr>
                <w:rFonts w:ascii="Calibri" w:eastAsia="Times New Roman" w:hAnsi="Calibri" w:cs="Times New Roman"/>
                <w:color w:val="000000"/>
                <w:lang w:eastAsia="es-CR"/>
              </w:rPr>
              <w:t>y propuesta</w:t>
            </w:r>
            <w:r w:rsidR="00A87DF0">
              <w:rPr>
                <w:rFonts w:ascii="Calibri" w:eastAsia="Times New Roman" w:hAnsi="Calibri" w:cs="Times New Roman"/>
                <w:color w:val="000000"/>
                <w:lang w:eastAsia="es-CR"/>
              </w:rPr>
              <w:t>s</w:t>
            </w:r>
            <w:r>
              <w:rPr>
                <w:rFonts w:ascii="Calibri" w:eastAsia="Times New Roman" w:hAnsi="Calibri" w:cs="Times New Roman"/>
                <w:color w:val="000000"/>
                <w:lang w:eastAsia="es-CR"/>
              </w:rPr>
              <w:t xml:space="preserve"> de acuerdo para la</w:t>
            </w:r>
            <w:r w:rsidR="00A242F7" w:rsidRPr="00A242F7">
              <w:rPr>
                <w:rFonts w:ascii="Calibri" w:eastAsia="Times New Roman" w:hAnsi="Calibri" w:cs="Times New Roman"/>
                <w:color w:val="000000"/>
                <w:lang w:eastAsia="es-CR"/>
              </w:rPr>
              <w:t xml:space="preserve"> Junta Directiva</w:t>
            </w:r>
            <w:r>
              <w:rPr>
                <w:rFonts w:ascii="Calibri" w:eastAsia="Times New Roman" w:hAnsi="Calibri" w:cs="Times New Roman"/>
                <w:color w:val="000000"/>
                <w:lang w:eastAsia="es-CR"/>
              </w:rPr>
              <w:t xml:space="preserve"> de Aresep (Ver Anexo </w:t>
            </w:r>
            <w:r w:rsidR="00355F6D">
              <w:rPr>
                <w:rFonts w:ascii="Calibri" w:eastAsia="Times New Roman" w:hAnsi="Calibri" w:cs="Times New Roman"/>
                <w:color w:val="000000"/>
                <w:lang w:eastAsia="es-CR"/>
              </w:rPr>
              <w:t>4</w:t>
            </w:r>
            <w:r>
              <w:rPr>
                <w:rFonts w:ascii="Calibri" w:eastAsia="Times New Roman" w:hAnsi="Calibri" w:cs="Times New Roman"/>
                <w:color w:val="000000"/>
                <w:lang w:eastAsia="es-CR"/>
              </w:rPr>
              <w:t xml:space="preserve">), así como las presentaciones del modelo. (Ver Anexo </w:t>
            </w:r>
            <w:r w:rsidR="00355F6D">
              <w:rPr>
                <w:rFonts w:ascii="Calibri" w:eastAsia="Times New Roman" w:hAnsi="Calibri" w:cs="Times New Roman"/>
                <w:color w:val="000000"/>
                <w:lang w:eastAsia="es-CR"/>
              </w:rPr>
              <w:t>5</w:t>
            </w:r>
            <w:r>
              <w:rPr>
                <w:rFonts w:ascii="Calibri" w:eastAsia="Times New Roman" w:hAnsi="Calibri" w:cs="Times New Roman"/>
                <w:color w:val="000000"/>
                <w:lang w:eastAsia="es-CR"/>
              </w:rPr>
              <w:t>).</w:t>
            </w:r>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Default="009F478C" w:rsidP="009F478C">
            <w:pPr>
              <w:spacing w:after="0" w:line="240" w:lineRule="auto"/>
              <w:jc w:val="both"/>
              <w:rPr>
                <w:rFonts w:ascii="Calibri" w:eastAsia="Times New Roman" w:hAnsi="Calibri" w:cs="Times New Roman"/>
                <w:color w:val="000000"/>
                <w:lang w:eastAsia="es-CR"/>
              </w:rPr>
            </w:pPr>
          </w:p>
          <w:p w:rsidR="00DA5942" w:rsidRPr="00DA5942" w:rsidRDefault="00DA5942" w:rsidP="00DA5942">
            <w:pPr>
              <w:spacing w:after="0" w:line="240" w:lineRule="auto"/>
              <w:jc w:val="both"/>
              <w:rPr>
                <w:rFonts w:ascii="Calibri" w:eastAsia="Times New Roman" w:hAnsi="Calibri" w:cs="Times New Roman"/>
                <w:i/>
                <w:color w:val="000000"/>
                <w:lang w:eastAsia="es-CR"/>
              </w:rPr>
            </w:pPr>
            <w:r w:rsidRPr="00DA5942">
              <w:rPr>
                <w:rFonts w:ascii="Calibri" w:eastAsia="Times New Roman" w:hAnsi="Calibri" w:cs="Times New Roman"/>
                <w:i/>
                <w:color w:val="000000"/>
                <w:lang w:eastAsia="es-CR"/>
              </w:rPr>
              <w:t>a.3. Difusión de la propuesta de nuevo modelo tarifario.</w:t>
            </w:r>
          </w:p>
          <w:p w:rsidR="00DA5942" w:rsidRDefault="00DA5942" w:rsidP="00DA5942">
            <w:pPr>
              <w:spacing w:after="0" w:line="240" w:lineRule="auto"/>
              <w:jc w:val="both"/>
              <w:rPr>
                <w:rFonts w:ascii="Calibri" w:eastAsia="Times New Roman" w:hAnsi="Calibri" w:cs="Times New Roman"/>
                <w:color w:val="000000"/>
                <w:lang w:eastAsia="es-CR"/>
              </w:rPr>
            </w:pPr>
          </w:p>
          <w:p w:rsidR="00A242F7" w:rsidRPr="00A242F7" w:rsidRDefault="00DA5942" w:rsidP="00355F6D">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La comisión elaboró las presentaciones</w:t>
            </w:r>
            <w:r w:rsidR="00A242F7" w:rsidRPr="00A242F7">
              <w:rPr>
                <w:rFonts w:ascii="Calibri" w:eastAsia="Times New Roman" w:hAnsi="Calibri" w:cs="Times New Roman"/>
                <w:color w:val="000000"/>
                <w:lang w:eastAsia="es-CR"/>
              </w:rPr>
              <w:t xml:space="preserve"> del nuevo modelo tarifario </w:t>
            </w:r>
            <w:r>
              <w:rPr>
                <w:rFonts w:ascii="Calibri" w:eastAsia="Times New Roman" w:hAnsi="Calibri" w:cs="Times New Roman"/>
                <w:color w:val="000000"/>
                <w:lang w:eastAsia="es-CR"/>
              </w:rPr>
              <w:t xml:space="preserve">para diferentes congresos, operadores y otras audiencias, incluyendo el </w:t>
            </w:r>
            <w:r w:rsidR="00A242F7" w:rsidRPr="00A242F7">
              <w:rPr>
                <w:rFonts w:ascii="Calibri" w:eastAsia="Times New Roman" w:hAnsi="Calibri" w:cs="Times New Roman"/>
                <w:color w:val="000000"/>
                <w:lang w:eastAsia="es-CR"/>
              </w:rPr>
              <w:t xml:space="preserve">foro del IFAM </w:t>
            </w:r>
            <w:r>
              <w:rPr>
                <w:rFonts w:ascii="Calibri" w:eastAsia="Times New Roman" w:hAnsi="Calibri" w:cs="Times New Roman"/>
                <w:color w:val="000000"/>
                <w:lang w:eastAsia="es-CR"/>
              </w:rPr>
              <w:t xml:space="preserve">sobre enfoques tarifarios </w:t>
            </w:r>
            <w:r w:rsidR="00A242F7" w:rsidRPr="00A242F7">
              <w:rPr>
                <w:rFonts w:ascii="Calibri" w:eastAsia="Times New Roman" w:hAnsi="Calibri" w:cs="Times New Roman"/>
                <w:color w:val="000000"/>
                <w:lang w:eastAsia="es-CR"/>
              </w:rPr>
              <w:t>para municipalidades con sistemas de acueductos</w:t>
            </w:r>
            <w:r>
              <w:rPr>
                <w:rFonts w:ascii="Calibri" w:eastAsia="Times New Roman" w:hAnsi="Calibri" w:cs="Times New Roman"/>
                <w:color w:val="000000"/>
                <w:lang w:eastAsia="es-CR"/>
              </w:rPr>
              <w:t xml:space="preserve">. (Ver Anexo </w:t>
            </w:r>
            <w:r w:rsidR="00355F6D">
              <w:rPr>
                <w:rFonts w:ascii="Calibri" w:eastAsia="Times New Roman" w:hAnsi="Calibri" w:cs="Times New Roman"/>
                <w:color w:val="000000"/>
                <w:lang w:eastAsia="es-CR"/>
              </w:rPr>
              <w:t>6</w:t>
            </w:r>
            <w:r>
              <w:rPr>
                <w:rFonts w:ascii="Calibri" w:eastAsia="Times New Roman" w:hAnsi="Calibri" w:cs="Times New Roman"/>
                <w:color w:val="000000"/>
                <w:lang w:eastAsia="es-CR"/>
              </w:rPr>
              <w:t>).</w:t>
            </w:r>
          </w:p>
        </w:tc>
      </w:tr>
      <w:tr w:rsidR="00A242F7" w:rsidRPr="00A242F7" w:rsidTr="00DA5942">
        <w:trPr>
          <w:trHeight w:val="288"/>
        </w:trPr>
        <w:tc>
          <w:tcPr>
            <w:tcW w:w="8480" w:type="dxa"/>
            <w:tcBorders>
              <w:top w:val="nil"/>
              <w:left w:val="nil"/>
              <w:bottom w:val="nil"/>
              <w:right w:val="nil"/>
            </w:tcBorders>
            <w:shd w:val="clear" w:color="auto" w:fill="auto"/>
            <w:vAlign w:val="bottom"/>
          </w:tcPr>
          <w:p w:rsidR="00A242F7" w:rsidRPr="00A242F7" w:rsidRDefault="00A242F7" w:rsidP="009F478C">
            <w:pPr>
              <w:spacing w:after="0" w:line="240" w:lineRule="auto"/>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DA5942" w:rsidRDefault="00DA5942" w:rsidP="00B10BB5">
            <w:pPr>
              <w:spacing w:after="0" w:line="240" w:lineRule="auto"/>
              <w:jc w:val="both"/>
              <w:rPr>
                <w:rFonts w:ascii="Calibri" w:eastAsia="Times New Roman" w:hAnsi="Calibri" w:cs="Times New Roman"/>
                <w:i/>
                <w:color w:val="000000"/>
                <w:lang w:eastAsia="es-CR"/>
              </w:rPr>
            </w:pPr>
            <w:r w:rsidRPr="00DA5942">
              <w:rPr>
                <w:rFonts w:ascii="Calibri" w:eastAsia="Times New Roman" w:hAnsi="Calibri" w:cs="Times New Roman"/>
                <w:i/>
                <w:color w:val="000000"/>
                <w:lang w:eastAsia="es-CR"/>
              </w:rPr>
              <w:t xml:space="preserve">a.4. </w:t>
            </w:r>
            <w:r w:rsidR="00B10BB5" w:rsidRPr="00B10BB5">
              <w:rPr>
                <w:rFonts w:ascii="Calibri" w:eastAsia="Times New Roman" w:hAnsi="Calibri" w:cs="Times New Roman"/>
                <w:i/>
                <w:color w:val="000000"/>
                <w:lang w:eastAsia="es-CR"/>
              </w:rPr>
              <w:t>Lineamientos para la estructura g</w:t>
            </w:r>
            <w:r w:rsidR="00B10BB5">
              <w:rPr>
                <w:rFonts w:ascii="Calibri" w:eastAsia="Times New Roman" w:hAnsi="Calibri" w:cs="Times New Roman"/>
                <w:i/>
                <w:color w:val="000000"/>
                <w:lang w:eastAsia="es-CR"/>
              </w:rPr>
              <w:t>eneral de los informes técnicos d</w:t>
            </w:r>
            <w:r w:rsidR="00B10BB5" w:rsidRPr="00B10BB5">
              <w:rPr>
                <w:rFonts w:ascii="Calibri" w:eastAsia="Times New Roman" w:hAnsi="Calibri" w:cs="Times New Roman"/>
                <w:i/>
                <w:color w:val="000000"/>
                <w:lang w:eastAsia="es-CR"/>
              </w:rPr>
              <w:t>e modelos tarifarios</w:t>
            </w:r>
            <w:r w:rsidRPr="00DA5942">
              <w:rPr>
                <w:rFonts w:ascii="Calibri" w:eastAsia="Times New Roman" w:hAnsi="Calibri" w:cs="Times New Roman"/>
                <w:i/>
                <w:color w:val="000000"/>
                <w:lang w:eastAsia="es-CR"/>
              </w:rPr>
              <w:t>.</w:t>
            </w:r>
          </w:p>
        </w:tc>
      </w:tr>
      <w:tr w:rsidR="00A242F7" w:rsidRPr="00A242F7" w:rsidTr="00A242F7">
        <w:trPr>
          <w:trHeight w:val="864"/>
        </w:trPr>
        <w:tc>
          <w:tcPr>
            <w:tcW w:w="8480" w:type="dxa"/>
            <w:tcBorders>
              <w:top w:val="nil"/>
              <w:left w:val="nil"/>
              <w:bottom w:val="nil"/>
              <w:right w:val="nil"/>
            </w:tcBorders>
            <w:shd w:val="clear" w:color="auto" w:fill="auto"/>
            <w:vAlign w:val="bottom"/>
            <w:hideMark/>
          </w:tcPr>
          <w:p w:rsidR="009F478C" w:rsidRPr="00620A8E" w:rsidRDefault="009F478C" w:rsidP="009F478C">
            <w:pPr>
              <w:spacing w:after="0" w:line="240" w:lineRule="auto"/>
              <w:jc w:val="both"/>
              <w:rPr>
                <w:rFonts w:ascii="Calibri" w:eastAsia="Times New Roman" w:hAnsi="Calibri" w:cs="Times New Roman"/>
                <w:lang w:eastAsia="es-CR"/>
              </w:rPr>
            </w:pPr>
          </w:p>
          <w:p w:rsidR="00DA5942" w:rsidRPr="00620A8E" w:rsidRDefault="00DA5942" w:rsidP="009F478C">
            <w:pPr>
              <w:spacing w:after="0" w:line="240" w:lineRule="auto"/>
              <w:jc w:val="both"/>
              <w:rPr>
                <w:rFonts w:ascii="Calibri" w:eastAsia="Times New Roman" w:hAnsi="Calibri" w:cs="Times New Roman"/>
                <w:lang w:eastAsia="es-CR"/>
              </w:rPr>
            </w:pPr>
            <w:r w:rsidRPr="00620A8E">
              <w:rPr>
                <w:rFonts w:ascii="Calibri" w:eastAsia="Times New Roman" w:hAnsi="Calibri" w:cs="Times New Roman"/>
                <w:lang w:eastAsia="es-CR"/>
              </w:rPr>
              <w:t xml:space="preserve">Se preparó un informe técnico para estandarizar la presentación de las propuestas de metodologías tarifarias. Lo anterior debido a que los informes de propuestas metodológicas presentan importantes diferencias de enfoque, estructura, alcance, manejo de fuentes, incorporación de transitorios, anexos, referencias y otros elementos. Esta propuesta fue remitida a la Dirección General Centro de Desarrollo de la Regulación. (Ver Anexo </w:t>
            </w:r>
            <w:r w:rsidR="00355F6D" w:rsidRPr="00620A8E">
              <w:rPr>
                <w:rFonts w:ascii="Calibri" w:eastAsia="Times New Roman" w:hAnsi="Calibri" w:cs="Times New Roman"/>
                <w:lang w:eastAsia="es-CR"/>
              </w:rPr>
              <w:t>7</w:t>
            </w:r>
            <w:r w:rsidRPr="00620A8E">
              <w:rPr>
                <w:rFonts w:ascii="Calibri" w:eastAsia="Times New Roman" w:hAnsi="Calibri" w:cs="Times New Roman"/>
                <w:lang w:eastAsia="es-CR"/>
              </w:rPr>
              <w:t>).</w:t>
            </w:r>
          </w:p>
          <w:p w:rsidR="00B01650" w:rsidRPr="00620A8E" w:rsidRDefault="00B01650" w:rsidP="009F478C">
            <w:pPr>
              <w:spacing w:after="0" w:line="240" w:lineRule="auto"/>
              <w:jc w:val="both"/>
              <w:rPr>
                <w:rFonts w:ascii="Calibri" w:eastAsia="Times New Roman" w:hAnsi="Calibri" w:cs="Times New Roman"/>
                <w:lang w:eastAsia="es-CR"/>
              </w:rPr>
            </w:pPr>
          </w:p>
          <w:p w:rsidR="00B01650" w:rsidRPr="00A87DF0" w:rsidRDefault="00B01650" w:rsidP="009F478C">
            <w:pPr>
              <w:spacing w:after="0" w:line="240" w:lineRule="auto"/>
              <w:jc w:val="both"/>
              <w:rPr>
                <w:rFonts w:ascii="Calibri" w:eastAsia="Times New Roman" w:hAnsi="Calibri" w:cs="Times New Roman"/>
                <w:i/>
                <w:lang w:eastAsia="es-CR"/>
              </w:rPr>
            </w:pPr>
            <w:r w:rsidRPr="00A87DF0">
              <w:rPr>
                <w:rFonts w:ascii="Calibri" w:eastAsia="Times New Roman" w:hAnsi="Calibri" w:cs="Times New Roman"/>
                <w:i/>
                <w:lang w:eastAsia="es-CR"/>
              </w:rPr>
              <w:t>a.5. Inversiones y nuevo enfoque tarifario</w:t>
            </w:r>
          </w:p>
          <w:p w:rsidR="00B01650" w:rsidRPr="00620A8E" w:rsidRDefault="00B01650" w:rsidP="009F478C">
            <w:pPr>
              <w:spacing w:after="0" w:line="240" w:lineRule="auto"/>
              <w:jc w:val="both"/>
              <w:rPr>
                <w:rFonts w:ascii="Calibri" w:eastAsia="Times New Roman" w:hAnsi="Calibri" w:cs="Times New Roman"/>
                <w:lang w:eastAsia="es-CR"/>
              </w:rPr>
            </w:pPr>
          </w:p>
          <w:p w:rsidR="00B01650" w:rsidRPr="00620A8E" w:rsidRDefault="00A87DF0" w:rsidP="009F478C">
            <w:pPr>
              <w:spacing w:after="0" w:line="240" w:lineRule="auto"/>
              <w:jc w:val="both"/>
              <w:rPr>
                <w:rFonts w:ascii="Calibri" w:eastAsia="Times New Roman" w:hAnsi="Calibri" w:cs="Times New Roman"/>
                <w:lang w:eastAsia="es-CR"/>
              </w:rPr>
            </w:pPr>
            <w:r>
              <w:rPr>
                <w:rFonts w:ascii="Calibri" w:eastAsia="Times New Roman" w:hAnsi="Calibri" w:cs="Times New Roman"/>
                <w:lang w:eastAsia="es-CR"/>
              </w:rPr>
              <w:t xml:space="preserve">Se elaboró </w:t>
            </w:r>
            <w:r w:rsidR="00B01650" w:rsidRPr="00620A8E">
              <w:rPr>
                <w:rFonts w:ascii="Calibri" w:eastAsia="Times New Roman" w:hAnsi="Calibri" w:cs="Times New Roman"/>
                <w:lang w:eastAsia="es-CR"/>
              </w:rPr>
              <w:t>un</w:t>
            </w:r>
            <w:r w:rsidR="00D47C90">
              <w:rPr>
                <w:rFonts w:ascii="Calibri" w:eastAsia="Times New Roman" w:hAnsi="Calibri" w:cs="Times New Roman"/>
                <w:lang w:eastAsia="es-CR"/>
              </w:rPr>
              <w:t>a presentación que resume</w:t>
            </w:r>
            <w:r w:rsidR="00B01650" w:rsidRPr="00620A8E">
              <w:rPr>
                <w:rFonts w:ascii="Calibri" w:eastAsia="Times New Roman" w:hAnsi="Calibri" w:cs="Times New Roman"/>
                <w:lang w:eastAsia="es-CR"/>
              </w:rPr>
              <w:t xml:space="preserve"> los principales aspectos relacionados con el tratamiento de las inversiones en el modelo tarifario propuesto.</w:t>
            </w:r>
            <w:r w:rsidR="006F5999" w:rsidRPr="00620A8E">
              <w:rPr>
                <w:rFonts w:ascii="Calibri" w:eastAsia="Times New Roman" w:hAnsi="Calibri" w:cs="Times New Roman"/>
                <w:lang w:eastAsia="es-CR"/>
              </w:rPr>
              <w:t xml:space="preserve"> Incluye relaciones entre inversión y calidad del servicio, la necesidad de fortalecer el proceso de inversión, los tipos de proyectos que se pueden financiar vía tarifas, los criterios para elaborar y evaluar el plan de inversión, las restricciones al uso de los recursos de inversión, las normas del fondo de inversión y algunos aspectos en materia de financiamiento de inversiones (Ver Anexo 8).</w:t>
            </w:r>
          </w:p>
          <w:p w:rsidR="00DA5942" w:rsidRPr="00620A8E" w:rsidRDefault="00DA5942" w:rsidP="009F478C">
            <w:pPr>
              <w:spacing w:after="0" w:line="240" w:lineRule="auto"/>
              <w:jc w:val="both"/>
              <w:rPr>
                <w:rFonts w:ascii="Calibri" w:eastAsia="Times New Roman" w:hAnsi="Calibri" w:cs="Times New Roman"/>
                <w:lang w:eastAsia="es-CR"/>
              </w:rPr>
            </w:pPr>
          </w:p>
          <w:p w:rsidR="00DA5942" w:rsidRPr="00620A8E" w:rsidRDefault="00DA5942" w:rsidP="009F478C">
            <w:pPr>
              <w:spacing w:after="0" w:line="240" w:lineRule="auto"/>
              <w:jc w:val="both"/>
              <w:rPr>
                <w:rFonts w:ascii="Calibri" w:eastAsia="Times New Roman" w:hAnsi="Calibri" w:cs="Times New Roman"/>
                <w:i/>
                <w:lang w:eastAsia="es-CR"/>
              </w:rPr>
            </w:pPr>
            <w:r w:rsidRPr="00620A8E">
              <w:rPr>
                <w:rFonts w:ascii="Calibri" w:eastAsia="Times New Roman" w:hAnsi="Calibri" w:cs="Times New Roman"/>
                <w:i/>
                <w:lang w:eastAsia="es-CR"/>
              </w:rPr>
              <w:t>a.</w:t>
            </w:r>
            <w:r w:rsidR="00B01650" w:rsidRPr="00620A8E">
              <w:rPr>
                <w:rFonts w:ascii="Calibri" w:eastAsia="Times New Roman" w:hAnsi="Calibri" w:cs="Times New Roman"/>
                <w:i/>
                <w:lang w:eastAsia="es-CR"/>
              </w:rPr>
              <w:t>6</w:t>
            </w:r>
            <w:r w:rsidRPr="00620A8E">
              <w:rPr>
                <w:rFonts w:ascii="Calibri" w:eastAsia="Times New Roman" w:hAnsi="Calibri" w:cs="Times New Roman"/>
                <w:i/>
                <w:lang w:eastAsia="es-CR"/>
              </w:rPr>
              <w:t>. Participación en el desarrollo de otros modelos tarifarios.</w:t>
            </w:r>
          </w:p>
          <w:p w:rsidR="00DA5942" w:rsidRPr="00620A8E" w:rsidRDefault="00DA5942" w:rsidP="009F478C">
            <w:pPr>
              <w:spacing w:after="0" w:line="240" w:lineRule="auto"/>
              <w:jc w:val="both"/>
              <w:rPr>
                <w:rFonts w:ascii="Calibri" w:eastAsia="Times New Roman" w:hAnsi="Calibri" w:cs="Times New Roman"/>
                <w:lang w:eastAsia="es-CR"/>
              </w:rPr>
            </w:pPr>
          </w:p>
          <w:p w:rsidR="00A242F7" w:rsidRPr="00620A8E" w:rsidRDefault="00DB4DF2" w:rsidP="00DB4DF2">
            <w:pPr>
              <w:spacing w:after="0" w:line="240" w:lineRule="auto"/>
              <w:jc w:val="both"/>
              <w:rPr>
                <w:rFonts w:ascii="Calibri" w:eastAsia="Times New Roman" w:hAnsi="Calibri" w:cs="Times New Roman"/>
                <w:lang w:eastAsia="es-CR"/>
              </w:rPr>
            </w:pPr>
            <w:r w:rsidRPr="00620A8E">
              <w:rPr>
                <w:rFonts w:ascii="Calibri" w:eastAsia="Times New Roman" w:hAnsi="Calibri" w:cs="Times New Roman"/>
                <w:lang w:eastAsia="es-CR"/>
              </w:rPr>
              <w:t>Se participó en el desarrollo de los</w:t>
            </w:r>
            <w:r w:rsidR="00A242F7" w:rsidRPr="00620A8E">
              <w:rPr>
                <w:rFonts w:ascii="Calibri" w:eastAsia="Times New Roman" w:hAnsi="Calibri" w:cs="Times New Roman"/>
                <w:lang w:eastAsia="es-CR"/>
              </w:rPr>
              <w:t xml:space="preserve"> modelos tarifarios de buses escolares, modelo de buses general, modelo extraordinario de buses, </w:t>
            </w:r>
            <w:r w:rsidR="00A87DF0">
              <w:rPr>
                <w:rFonts w:ascii="Calibri" w:eastAsia="Times New Roman" w:hAnsi="Calibri" w:cs="Times New Roman"/>
                <w:lang w:eastAsia="es-CR"/>
              </w:rPr>
              <w:t xml:space="preserve">varios modelos de </w:t>
            </w:r>
            <w:r w:rsidR="00A242F7" w:rsidRPr="00620A8E">
              <w:rPr>
                <w:rFonts w:ascii="Calibri" w:eastAsia="Times New Roman" w:hAnsi="Calibri" w:cs="Times New Roman"/>
                <w:lang w:eastAsia="es-CR"/>
              </w:rPr>
              <w:t xml:space="preserve">plantas de generación privadas, combustibles en </w:t>
            </w:r>
            <w:r w:rsidRPr="00620A8E">
              <w:rPr>
                <w:rFonts w:ascii="Calibri" w:eastAsia="Times New Roman" w:hAnsi="Calibri" w:cs="Times New Roman"/>
                <w:lang w:eastAsia="es-CR"/>
              </w:rPr>
              <w:t>plantel, estaciones de servicio y</w:t>
            </w:r>
            <w:r w:rsidR="00A242F7" w:rsidRPr="00620A8E">
              <w:rPr>
                <w:rFonts w:ascii="Calibri" w:eastAsia="Times New Roman" w:hAnsi="Calibri" w:cs="Times New Roman"/>
                <w:lang w:eastAsia="es-CR"/>
              </w:rPr>
              <w:t xml:space="preserve"> costo variable del combustible</w:t>
            </w:r>
            <w:r w:rsidRPr="00620A8E">
              <w:rPr>
                <w:rFonts w:ascii="Calibri" w:eastAsia="Times New Roman" w:hAnsi="Calibri" w:cs="Times New Roman"/>
                <w:lang w:eastAsia="es-CR"/>
              </w:rPr>
              <w:t xml:space="preserve">. </w:t>
            </w:r>
          </w:p>
        </w:tc>
      </w:tr>
      <w:tr w:rsidR="00A242F7" w:rsidRPr="00A242F7" w:rsidTr="00A242F7">
        <w:trPr>
          <w:trHeight w:val="288"/>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037220">
        <w:trPr>
          <w:trHeight w:val="237"/>
        </w:trPr>
        <w:tc>
          <w:tcPr>
            <w:tcW w:w="8480" w:type="dxa"/>
            <w:tcBorders>
              <w:top w:val="nil"/>
              <w:left w:val="nil"/>
              <w:bottom w:val="nil"/>
              <w:right w:val="nil"/>
            </w:tcBorders>
            <w:shd w:val="clear" w:color="auto" w:fill="auto"/>
            <w:vAlign w:val="bottom"/>
            <w:hideMark/>
          </w:tcPr>
          <w:p w:rsidR="00A242F7" w:rsidRPr="00620A8E"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21" w:name="_Toc451425948"/>
            <w:bookmarkStart w:id="22" w:name="_Toc451426712"/>
            <w:r w:rsidRPr="00620A8E">
              <w:rPr>
                <w:rFonts w:ascii="Calibri" w:eastAsia="Times New Roman" w:hAnsi="Calibri" w:cs="Times New Roman"/>
                <w:b/>
                <w:bCs/>
                <w:color w:val="000000"/>
                <w:lang w:eastAsia="es-CR"/>
              </w:rPr>
              <w:t>Subsidios</w:t>
            </w:r>
            <w:bookmarkEnd w:id="21"/>
            <w:bookmarkEnd w:id="22"/>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037220" w:rsidRDefault="009F478C" w:rsidP="009F478C">
            <w:pPr>
              <w:spacing w:after="0" w:line="240" w:lineRule="auto"/>
              <w:jc w:val="both"/>
              <w:rPr>
                <w:rFonts w:ascii="Calibri" w:eastAsia="Times New Roman" w:hAnsi="Calibri" w:cs="Times New Roman"/>
                <w:color w:val="000000"/>
                <w:sz w:val="10"/>
                <w:lang w:eastAsia="es-CR"/>
              </w:rPr>
            </w:pPr>
          </w:p>
          <w:p w:rsidR="00A242F7" w:rsidRPr="00DB4DF2" w:rsidRDefault="00DB4DF2" w:rsidP="009F478C">
            <w:pPr>
              <w:spacing w:after="0" w:line="240" w:lineRule="auto"/>
              <w:jc w:val="both"/>
              <w:rPr>
                <w:rFonts w:ascii="Calibri" w:eastAsia="Times New Roman" w:hAnsi="Calibri" w:cs="Times New Roman"/>
                <w:i/>
                <w:color w:val="000000"/>
                <w:lang w:eastAsia="es-CR"/>
              </w:rPr>
            </w:pPr>
            <w:r w:rsidRPr="00DB4DF2">
              <w:rPr>
                <w:rFonts w:ascii="Calibri" w:eastAsia="Times New Roman" w:hAnsi="Calibri" w:cs="Times New Roman"/>
                <w:i/>
                <w:color w:val="000000"/>
                <w:lang w:eastAsia="es-CR"/>
              </w:rPr>
              <w:t xml:space="preserve">b.1. </w:t>
            </w:r>
            <w:r w:rsidR="00A242F7" w:rsidRPr="00DB4DF2">
              <w:rPr>
                <w:rFonts w:ascii="Calibri" w:eastAsia="Times New Roman" w:hAnsi="Calibri" w:cs="Times New Roman"/>
                <w:i/>
                <w:color w:val="000000"/>
                <w:lang w:eastAsia="es-CR"/>
              </w:rPr>
              <w:t>Lineamientos para la política de subsidios en servicios de agua regulados</w:t>
            </w:r>
            <w:r w:rsidRPr="00DB4DF2">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9F478C">
            <w:pPr>
              <w:spacing w:after="0" w:line="240" w:lineRule="auto"/>
              <w:jc w:val="both"/>
              <w:rPr>
                <w:rFonts w:ascii="Calibri" w:eastAsia="Times New Roman" w:hAnsi="Calibri" w:cs="Times New Roman"/>
                <w:color w:val="000000"/>
                <w:lang w:eastAsia="es-CR"/>
              </w:rPr>
            </w:pPr>
          </w:p>
          <w:p w:rsidR="00DB4DF2" w:rsidRDefault="00DB4DF2"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Se preparó para la Junta Directiva de Aresep la propuesta de lineamientos para el diseño y aplicación de una política de subsidios dirigida a los servicios de agua para consumo humano. </w:t>
            </w:r>
          </w:p>
          <w:p w:rsidR="00DB4DF2" w:rsidRDefault="00DB4DF2"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Esta política establece las guías generales necesarias para implementar un sistema de subsidios que garantice el acceso al agua potable por parte de la población en condición de pobreza y las entidades de servicio social </w:t>
            </w:r>
            <w:r w:rsidR="00BA17CC">
              <w:rPr>
                <w:rFonts w:ascii="Calibri" w:eastAsia="Times New Roman" w:hAnsi="Calibri" w:cs="Times New Roman"/>
                <w:color w:val="000000"/>
                <w:lang w:eastAsia="es-CR"/>
              </w:rPr>
              <w:t xml:space="preserve">prioritarias –las </w:t>
            </w:r>
            <w:r>
              <w:rPr>
                <w:rFonts w:ascii="Calibri" w:eastAsia="Times New Roman" w:hAnsi="Calibri" w:cs="Times New Roman"/>
                <w:color w:val="000000"/>
                <w:lang w:eastAsia="es-CR"/>
              </w:rPr>
              <w:t>que atienden personas en condición vulnerable</w:t>
            </w:r>
            <w:r w:rsidR="00BA17CC">
              <w:rPr>
                <w:rFonts w:ascii="Calibri" w:eastAsia="Times New Roman" w:hAnsi="Calibri" w:cs="Times New Roman"/>
                <w:color w:val="000000"/>
                <w:lang w:eastAsia="es-CR"/>
              </w:rPr>
              <w:t>-</w:t>
            </w:r>
            <w:r>
              <w:rPr>
                <w:rFonts w:ascii="Calibri" w:eastAsia="Times New Roman" w:hAnsi="Calibri" w:cs="Times New Roman"/>
                <w:color w:val="000000"/>
                <w:lang w:eastAsia="es-CR"/>
              </w:rPr>
              <w:t xml:space="preserve">. (Ver Anexo </w:t>
            </w:r>
            <w:r w:rsidR="006F5999">
              <w:rPr>
                <w:rFonts w:ascii="Calibri" w:eastAsia="Times New Roman" w:hAnsi="Calibri" w:cs="Times New Roman"/>
                <w:color w:val="000000"/>
                <w:lang w:eastAsia="es-CR"/>
              </w:rPr>
              <w:t>9</w:t>
            </w:r>
            <w:r>
              <w:rPr>
                <w:rFonts w:ascii="Calibri" w:eastAsia="Times New Roman" w:hAnsi="Calibri" w:cs="Times New Roman"/>
                <w:color w:val="000000"/>
                <w:lang w:eastAsia="es-CR"/>
              </w:rPr>
              <w:t>).</w:t>
            </w:r>
          </w:p>
          <w:p w:rsidR="00DB4DF2" w:rsidRDefault="00DB4DF2" w:rsidP="009F478C">
            <w:pPr>
              <w:spacing w:after="0" w:line="240" w:lineRule="auto"/>
              <w:jc w:val="both"/>
              <w:rPr>
                <w:rFonts w:ascii="Calibri" w:eastAsia="Times New Roman" w:hAnsi="Calibri" w:cs="Times New Roman"/>
                <w:color w:val="000000"/>
                <w:lang w:eastAsia="es-CR"/>
              </w:rPr>
            </w:pPr>
          </w:p>
          <w:p w:rsidR="00A242F7" w:rsidRDefault="00DB4DF2" w:rsidP="009F478C">
            <w:pPr>
              <w:spacing w:after="0" w:line="240" w:lineRule="auto"/>
              <w:jc w:val="both"/>
              <w:rPr>
                <w:rFonts w:ascii="Calibri" w:eastAsia="Times New Roman" w:hAnsi="Calibri" w:cs="Times New Roman"/>
                <w:i/>
                <w:color w:val="000000"/>
                <w:lang w:eastAsia="es-CR"/>
              </w:rPr>
            </w:pPr>
            <w:r>
              <w:rPr>
                <w:rFonts w:ascii="Calibri" w:eastAsia="Times New Roman" w:hAnsi="Calibri" w:cs="Times New Roman"/>
                <w:i/>
                <w:color w:val="000000"/>
                <w:lang w:eastAsia="es-CR"/>
              </w:rPr>
              <w:t xml:space="preserve">b.2. </w:t>
            </w:r>
            <w:r w:rsidR="00A242F7" w:rsidRPr="00DB4DF2">
              <w:rPr>
                <w:rFonts w:ascii="Calibri" w:eastAsia="Times New Roman" w:hAnsi="Calibri" w:cs="Times New Roman"/>
                <w:i/>
                <w:color w:val="000000"/>
                <w:lang w:eastAsia="es-CR"/>
              </w:rPr>
              <w:t>Modelo de estructura tarifaria de subsidios para los servicios de agua</w:t>
            </w:r>
            <w:r>
              <w:rPr>
                <w:rFonts w:ascii="Calibri" w:eastAsia="Times New Roman" w:hAnsi="Calibri" w:cs="Times New Roman"/>
                <w:i/>
                <w:color w:val="000000"/>
                <w:lang w:eastAsia="es-CR"/>
              </w:rPr>
              <w:t>.</w:t>
            </w:r>
          </w:p>
          <w:p w:rsidR="00DB4DF2" w:rsidRPr="00DB4DF2" w:rsidRDefault="00DB4DF2" w:rsidP="009F478C">
            <w:pPr>
              <w:spacing w:after="0" w:line="240" w:lineRule="auto"/>
              <w:jc w:val="both"/>
              <w:rPr>
                <w:rFonts w:ascii="Calibri" w:eastAsia="Times New Roman" w:hAnsi="Calibri" w:cs="Times New Roman"/>
                <w:i/>
                <w:color w:val="000000"/>
                <w:lang w:eastAsia="es-CR"/>
              </w:rPr>
            </w:pPr>
          </w:p>
          <w:p w:rsidR="00DB4DF2" w:rsidRDefault="00DB4DF2"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Se preparó y presentó un modelo técnico detall</w:t>
            </w:r>
            <w:r w:rsidRPr="00DB4DF2">
              <w:rPr>
                <w:rFonts w:ascii="Calibri" w:eastAsia="Times New Roman" w:hAnsi="Calibri" w:cs="Times New Roman"/>
                <w:color w:val="000000"/>
                <w:lang w:eastAsia="es-CR"/>
              </w:rPr>
              <w:t>ado para implementar la estructura tarifaria de subsidios para los servicios de agua</w:t>
            </w:r>
            <w:r>
              <w:rPr>
                <w:rFonts w:ascii="Calibri" w:eastAsia="Times New Roman" w:hAnsi="Calibri" w:cs="Times New Roman"/>
                <w:color w:val="000000"/>
                <w:lang w:eastAsia="es-CR"/>
              </w:rPr>
              <w:t xml:space="preserve">. </w:t>
            </w:r>
            <w:r w:rsidR="002A1718">
              <w:rPr>
                <w:rFonts w:ascii="Calibri" w:eastAsia="Times New Roman" w:hAnsi="Calibri" w:cs="Times New Roman"/>
                <w:color w:val="000000"/>
                <w:lang w:eastAsia="es-CR"/>
              </w:rPr>
              <w:t>Este modelo detalla los conceptos y procedimiento</w:t>
            </w:r>
            <w:r w:rsidR="00A87DF0">
              <w:rPr>
                <w:rFonts w:ascii="Calibri" w:eastAsia="Times New Roman" w:hAnsi="Calibri" w:cs="Times New Roman"/>
                <w:color w:val="000000"/>
                <w:lang w:eastAsia="es-CR"/>
              </w:rPr>
              <w:t>s</w:t>
            </w:r>
            <w:r w:rsidR="002A1718">
              <w:rPr>
                <w:rFonts w:ascii="Calibri" w:eastAsia="Times New Roman" w:hAnsi="Calibri" w:cs="Times New Roman"/>
                <w:color w:val="000000"/>
                <w:lang w:eastAsia="es-CR"/>
              </w:rPr>
              <w:t xml:space="preserve"> necesarios para pasar del costo medio del servicio a la tarifa final con el subsidio o recargo incorporado. Se establecen </w:t>
            </w:r>
            <w:r>
              <w:rPr>
                <w:rFonts w:ascii="Calibri" w:eastAsia="Times New Roman" w:hAnsi="Calibri" w:cs="Times New Roman"/>
                <w:color w:val="000000"/>
                <w:lang w:eastAsia="es-CR"/>
              </w:rPr>
              <w:t>los servicios que pueden ser subsidiados, las condiciones que deben cumplir los beneficiarios (focalización del subsidio), el consumo máximo subsidiable</w:t>
            </w:r>
            <w:r w:rsidR="002A1718">
              <w:rPr>
                <w:rFonts w:ascii="Calibri" w:eastAsia="Times New Roman" w:hAnsi="Calibri" w:cs="Times New Roman"/>
                <w:color w:val="000000"/>
                <w:lang w:eastAsia="es-CR"/>
              </w:rPr>
              <w:t xml:space="preserve"> </w:t>
            </w:r>
            <w:r w:rsidR="002A1718">
              <w:rPr>
                <w:rFonts w:ascii="Calibri" w:eastAsia="Times New Roman" w:hAnsi="Calibri" w:cs="Times New Roman"/>
                <w:color w:val="000000"/>
                <w:lang w:eastAsia="es-CR"/>
              </w:rPr>
              <w:lastRenderedPageBreak/>
              <w:t>con base en parámetros de la Organización Mundial de la Salud</w:t>
            </w:r>
            <w:r>
              <w:rPr>
                <w:rFonts w:ascii="Calibri" w:eastAsia="Times New Roman" w:hAnsi="Calibri" w:cs="Times New Roman"/>
                <w:color w:val="000000"/>
                <w:lang w:eastAsia="es-CR"/>
              </w:rPr>
              <w:t>, las categorías de abonados y rango</w:t>
            </w:r>
            <w:r w:rsidR="00A87DF0">
              <w:rPr>
                <w:rFonts w:ascii="Calibri" w:eastAsia="Times New Roman" w:hAnsi="Calibri" w:cs="Times New Roman"/>
                <w:color w:val="000000"/>
                <w:lang w:eastAsia="es-CR"/>
              </w:rPr>
              <w:t>s</w:t>
            </w:r>
            <w:r>
              <w:rPr>
                <w:rFonts w:ascii="Calibri" w:eastAsia="Times New Roman" w:hAnsi="Calibri" w:cs="Times New Roman"/>
                <w:color w:val="000000"/>
                <w:lang w:eastAsia="es-CR"/>
              </w:rPr>
              <w:t xml:space="preserve"> de consumos que no reciben subsidios ni pagan recargos </w:t>
            </w:r>
            <w:r w:rsidR="002A1718">
              <w:rPr>
                <w:rFonts w:ascii="Calibri" w:eastAsia="Times New Roman" w:hAnsi="Calibri" w:cs="Times New Roman"/>
                <w:color w:val="000000"/>
                <w:lang w:eastAsia="es-CR"/>
              </w:rPr>
              <w:t xml:space="preserve">(pagan el costo medio) </w:t>
            </w:r>
            <w:r>
              <w:rPr>
                <w:rFonts w:ascii="Calibri" w:eastAsia="Times New Roman" w:hAnsi="Calibri" w:cs="Times New Roman"/>
                <w:color w:val="000000"/>
                <w:lang w:eastAsia="es-CR"/>
              </w:rPr>
              <w:t>y las categorías y rangos de consumo que cubren la tarifa solidaria que permite otorgar lo</w:t>
            </w:r>
            <w:r w:rsidR="002A1718">
              <w:rPr>
                <w:rFonts w:ascii="Calibri" w:eastAsia="Times New Roman" w:hAnsi="Calibri" w:cs="Times New Roman"/>
                <w:color w:val="000000"/>
                <w:lang w:eastAsia="es-CR"/>
              </w:rPr>
              <w:t>s</w:t>
            </w:r>
            <w:r>
              <w:rPr>
                <w:rFonts w:ascii="Calibri" w:eastAsia="Times New Roman" w:hAnsi="Calibri" w:cs="Times New Roman"/>
                <w:color w:val="000000"/>
                <w:lang w:eastAsia="es-CR"/>
              </w:rPr>
              <w:t xml:space="preserve"> subsidios</w:t>
            </w:r>
            <w:r w:rsidR="002A1718">
              <w:rPr>
                <w:rFonts w:ascii="Calibri" w:eastAsia="Times New Roman" w:hAnsi="Calibri" w:cs="Times New Roman"/>
                <w:color w:val="000000"/>
                <w:lang w:eastAsia="es-CR"/>
              </w:rPr>
              <w:t xml:space="preserve">, entre otros aspectos de interés. (Ver Anexo </w:t>
            </w:r>
            <w:r w:rsidR="006F5999">
              <w:rPr>
                <w:rFonts w:ascii="Calibri" w:eastAsia="Times New Roman" w:hAnsi="Calibri" w:cs="Times New Roman"/>
                <w:color w:val="000000"/>
                <w:lang w:eastAsia="es-CR"/>
              </w:rPr>
              <w:t>10</w:t>
            </w:r>
            <w:r w:rsidR="002A1718">
              <w:rPr>
                <w:rFonts w:ascii="Calibri" w:eastAsia="Times New Roman" w:hAnsi="Calibri" w:cs="Times New Roman"/>
                <w:color w:val="000000"/>
                <w:lang w:eastAsia="es-CR"/>
              </w:rPr>
              <w:t>).</w:t>
            </w:r>
          </w:p>
          <w:p w:rsidR="00343864" w:rsidRDefault="00343864" w:rsidP="009F478C">
            <w:pPr>
              <w:spacing w:after="0" w:line="240" w:lineRule="auto"/>
              <w:jc w:val="both"/>
              <w:rPr>
                <w:rFonts w:ascii="Calibri" w:eastAsia="Times New Roman" w:hAnsi="Calibri" w:cs="Times New Roman"/>
                <w:color w:val="000000"/>
                <w:lang w:eastAsia="es-CR"/>
              </w:rPr>
            </w:pPr>
          </w:p>
          <w:p w:rsidR="00343864" w:rsidRPr="006F5999" w:rsidRDefault="00343864" w:rsidP="009F478C">
            <w:pPr>
              <w:spacing w:after="0" w:line="240" w:lineRule="auto"/>
              <w:jc w:val="both"/>
              <w:rPr>
                <w:rFonts w:ascii="Calibri" w:eastAsia="Times New Roman" w:hAnsi="Calibri" w:cs="Times New Roman"/>
                <w:lang w:eastAsia="es-CR"/>
              </w:rPr>
            </w:pPr>
            <w:r w:rsidRPr="006F5999">
              <w:rPr>
                <w:rFonts w:ascii="Calibri" w:eastAsia="Times New Roman" w:hAnsi="Calibri" w:cs="Times New Roman"/>
                <w:i/>
                <w:lang w:eastAsia="es-CR"/>
              </w:rPr>
              <w:t>b.3. Presentación sobre las características de la estructura de subsidios</w:t>
            </w:r>
          </w:p>
          <w:p w:rsidR="00343864" w:rsidRPr="006F5999" w:rsidRDefault="00343864" w:rsidP="009F478C">
            <w:pPr>
              <w:spacing w:after="0" w:line="240" w:lineRule="auto"/>
              <w:jc w:val="both"/>
              <w:rPr>
                <w:rFonts w:ascii="Calibri" w:eastAsia="Times New Roman" w:hAnsi="Calibri" w:cs="Times New Roman"/>
                <w:lang w:eastAsia="es-CR"/>
              </w:rPr>
            </w:pPr>
          </w:p>
          <w:p w:rsidR="00343864" w:rsidRPr="006F5999" w:rsidRDefault="00343864" w:rsidP="009F478C">
            <w:pPr>
              <w:spacing w:after="0" w:line="240" w:lineRule="auto"/>
              <w:jc w:val="both"/>
              <w:rPr>
                <w:rFonts w:ascii="Calibri" w:eastAsia="Times New Roman" w:hAnsi="Calibri" w:cs="Times New Roman"/>
                <w:lang w:eastAsia="es-CR"/>
              </w:rPr>
            </w:pPr>
            <w:r w:rsidRPr="006F5999">
              <w:rPr>
                <w:rFonts w:ascii="Calibri" w:eastAsia="Times New Roman" w:hAnsi="Calibri" w:cs="Times New Roman"/>
                <w:lang w:eastAsia="es-CR"/>
              </w:rPr>
              <w:t>Se elaboró una presentación detallada de las ca</w:t>
            </w:r>
            <w:r w:rsidR="001C2AA9" w:rsidRPr="006F5999">
              <w:rPr>
                <w:rFonts w:ascii="Calibri" w:eastAsia="Times New Roman" w:hAnsi="Calibri" w:cs="Times New Roman"/>
                <w:lang w:eastAsia="es-CR"/>
              </w:rPr>
              <w:t>rac</w:t>
            </w:r>
            <w:r w:rsidRPr="006F5999">
              <w:rPr>
                <w:rFonts w:ascii="Calibri" w:eastAsia="Times New Roman" w:hAnsi="Calibri" w:cs="Times New Roman"/>
                <w:lang w:eastAsia="es-CR"/>
              </w:rPr>
              <w:t>terísticas de la propuesta de subsidios (</w:t>
            </w:r>
            <w:r w:rsidR="001C2AA9" w:rsidRPr="006F5999">
              <w:rPr>
                <w:rFonts w:ascii="Calibri" w:eastAsia="Times New Roman" w:hAnsi="Calibri" w:cs="Times New Roman"/>
                <w:lang w:eastAsia="es-CR"/>
              </w:rPr>
              <w:t>política</w:t>
            </w:r>
            <w:r w:rsidRPr="006F5999">
              <w:rPr>
                <w:rFonts w:ascii="Calibri" w:eastAsia="Times New Roman" w:hAnsi="Calibri" w:cs="Times New Roman"/>
                <w:lang w:eastAsia="es-CR"/>
              </w:rPr>
              <w:t xml:space="preserve"> y estructura</w:t>
            </w:r>
            <w:r w:rsidR="001C2AA9" w:rsidRPr="006F5999">
              <w:rPr>
                <w:rFonts w:ascii="Calibri" w:eastAsia="Times New Roman" w:hAnsi="Calibri" w:cs="Times New Roman"/>
                <w:lang w:eastAsia="es-CR"/>
              </w:rPr>
              <w:t>) y</w:t>
            </w:r>
            <w:r w:rsidRPr="006F5999">
              <w:rPr>
                <w:rFonts w:ascii="Calibri" w:eastAsia="Times New Roman" w:hAnsi="Calibri" w:cs="Times New Roman"/>
                <w:lang w:eastAsia="es-CR"/>
              </w:rPr>
              <w:t xml:space="preserve"> de la </w:t>
            </w:r>
            <w:r w:rsidR="001C2AA9" w:rsidRPr="006F5999">
              <w:rPr>
                <w:rFonts w:ascii="Calibri" w:eastAsia="Times New Roman" w:hAnsi="Calibri" w:cs="Times New Roman"/>
                <w:lang w:eastAsia="es-CR"/>
              </w:rPr>
              <w:t>corrida</w:t>
            </w:r>
            <w:r w:rsidRPr="006F5999">
              <w:rPr>
                <w:rFonts w:ascii="Calibri" w:eastAsia="Times New Roman" w:hAnsi="Calibri" w:cs="Times New Roman"/>
                <w:lang w:eastAsia="es-CR"/>
              </w:rPr>
              <w:t xml:space="preserve"> </w:t>
            </w:r>
            <w:r w:rsidR="00A04C7A">
              <w:rPr>
                <w:rFonts w:ascii="Calibri" w:eastAsia="Times New Roman" w:hAnsi="Calibri" w:cs="Times New Roman"/>
                <w:lang w:eastAsia="es-CR"/>
              </w:rPr>
              <w:t xml:space="preserve">preliminar </w:t>
            </w:r>
            <w:r w:rsidRPr="006F5999">
              <w:rPr>
                <w:rFonts w:ascii="Calibri" w:eastAsia="Times New Roman" w:hAnsi="Calibri" w:cs="Times New Roman"/>
                <w:lang w:eastAsia="es-CR"/>
              </w:rPr>
              <w:t xml:space="preserve">en Excel de los efectos </w:t>
            </w:r>
            <w:r w:rsidR="001C2AA9" w:rsidRPr="006F5999">
              <w:rPr>
                <w:rFonts w:ascii="Calibri" w:eastAsia="Times New Roman" w:hAnsi="Calibri" w:cs="Times New Roman"/>
                <w:lang w:eastAsia="es-CR"/>
              </w:rPr>
              <w:t xml:space="preserve">tarifarios de dicha propuesta </w:t>
            </w:r>
            <w:r w:rsidRPr="006F5999">
              <w:rPr>
                <w:rFonts w:ascii="Calibri" w:eastAsia="Times New Roman" w:hAnsi="Calibri" w:cs="Times New Roman"/>
                <w:lang w:eastAsia="es-CR"/>
              </w:rPr>
              <w:t>en el servic</w:t>
            </w:r>
            <w:r w:rsidR="001C2AA9" w:rsidRPr="006F5999">
              <w:rPr>
                <w:rFonts w:ascii="Calibri" w:eastAsia="Times New Roman" w:hAnsi="Calibri" w:cs="Times New Roman"/>
                <w:lang w:eastAsia="es-CR"/>
              </w:rPr>
              <w:t>i</w:t>
            </w:r>
            <w:r w:rsidRPr="006F5999">
              <w:rPr>
                <w:rFonts w:ascii="Calibri" w:eastAsia="Times New Roman" w:hAnsi="Calibri" w:cs="Times New Roman"/>
                <w:lang w:eastAsia="es-CR"/>
              </w:rPr>
              <w:t>o de acueductos.</w:t>
            </w:r>
            <w:r w:rsidR="001C2AA9" w:rsidRPr="006F5999">
              <w:rPr>
                <w:rFonts w:ascii="Calibri" w:eastAsia="Times New Roman" w:hAnsi="Calibri" w:cs="Times New Roman"/>
                <w:lang w:eastAsia="es-CR"/>
              </w:rPr>
              <w:t xml:space="preserve"> (Ver Anexo 1</w:t>
            </w:r>
            <w:r w:rsidR="006F5999">
              <w:rPr>
                <w:rFonts w:ascii="Calibri" w:eastAsia="Times New Roman" w:hAnsi="Calibri" w:cs="Times New Roman"/>
                <w:lang w:eastAsia="es-CR"/>
              </w:rPr>
              <w:t>1</w:t>
            </w:r>
            <w:r w:rsidR="001C2AA9" w:rsidRPr="006F5999">
              <w:rPr>
                <w:rFonts w:ascii="Calibri" w:eastAsia="Times New Roman" w:hAnsi="Calibri" w:cs="Times New Roman"/>
                <w:lang w:eastAsia="es-CR"/>
              </w:rPr>
              <w:t>).  La hoja de cálculo fue preparada de manera conjunta por el Intendente de la IA y el suscrito.</w:t>
            </w:r>
          </w:p>
          <w:p w:rsidR="00DB4DF2" w:rsidRPr="00037220" w:rsidRDefault="00DB4DF2" w:rsidP="009F478C">
            <w:pPr>
              <w:spacing w:after="0" w:line="240" w:lineRule="auto"/>
              <w:jc w:val="both"/>
              <w:rPr>
                <w:rFonts w:ascii="Calibri" w:eastAsia="Times New Roman" w:hAnsi="Calibri" w:cs="Times New Roman"/>
                <w:color w:val="000000"/>
                <w:sz w:val="12"/>
                <w:lang w:eastAsia="es-CR"/>
              </w:rPr>
            </w:pPr>
          </w:p>
        </w:tc>
      </w:tr>
      <w:tr w:rsidR="00A242F7" w:rsidRPr="00A242F7" w:rsidTr="00B01650">
        <w:trPr>
          <w:trHeight w:val="70"/>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23" w:name="_Toc451425949"/>
            <w:bookmarkStart w:id="24" w:name="_Toc451426713"/>
            <w:r w:rsidRPr="00A242F7">
              <w:rPr>
                <w:rFonts w:ascii="Calibri" w:eastAsia="Times New Roman" w:hAnsi="Calibri" w:cs="Times New Roman"/>
                <w:b/>
                <w:bCs/>
                <w:color w:val="000000"/>
                <w:lang w:eastAsia="es-CR"/>
              </w:rPr>
              <w:t>Fiscalización</w:t>
            </w:r>
            <w:bookmarkEnd w:id="23"/>
            <w:bookmarkEnd w:id="24"/>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037220" w:rsidRDefault="009F478C" w:rsidP="00037220">
            <w:pPr>
              <w:spacing w:after="0" w:line="240" w:lineRule="auto"/>
              <w:ind w:firstLineChars="100" w:firstLine="80"/>
              <w:jc w:val="both"/>
              <w:rPr>
                <w:rFonts w:ascii="Calibri" w:eastAsia="Times New Roman" w:hAnsi="Calibri" w:cs="Times New Roman"/>
                <w:color w:val="000000"/>
                <w:sz w:val="8"/>
                <w:lang w:eastAsia="es-CR"/>
              </w:rPr>
            </w:pPr>
          </w:p>
          <w:p w:rsidR="002A1718" w:rsidRDefault="007345DD"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La fiscalización es un tema clave en la regulación de servicios públicos. En efecto, por una parte se tiene que l</w:t>
            </w:r>
            <w:r w:rsidR="002A1718">
              <w:rPr>
                <w:rFonts w:ascii="Calibri" w:eastAsia="Times New Roman" w:hAnsi="Calibri" w:cs="Times New Roman"/>
                <w:color w:val="000000"/>
                <w:lang w:eastAsia="es-CR"/>
              </w:rPr>
              <w:t xml:space="preserve">as fijaciones tarifarias asignan a </w:t>
            </w:r>
            <w:r w:rsidR="006F5999">
              <w:rPr>
                <w:rFonts w:ascii="Calibri" w:eastAsia="Times New Roman" w:hAnsi="Calibri" w:cs="Times New Roman"/>
                <w:color w:val="000000"/>
                <w:lang w:eastAsia="es-CR"/>
              </w:rPr>
              <w:t xml:space="preserve">los operadores </w:t>
            </w:r>
            <w:r w:rsidR="002A1718">
              <w:rPr>
                <w:rFonts w:ascii="Calibri" w:eastAsia="Times New Roman" w:hAnsi="Calibri" w:cs="Times New Roman"/>
                <w:color w:val="000000"/>
                <w:lang w:eastAsia="es-CR"/>
              </w:rPr>
              <w:t xml:space="preserve">importantes cantidades de recursos a fin de que puedan cubrir sus necesidades de operación, inversión y financiamiento. Estos recursos, año con año, tienden a subejecutarse en cuantías importantes. También se da el caso de que algunos gastos podrían no estar debidamente justificados o algunas obras ejecutadas podrían no formar parte del plan originalmente aprobado. </w:t>
            </w:r>
            <w:r>
              <w:rPr>
                <w:rFonts w:ascii="Calibri" w:eastAsia="Times New Roman" w:hAnsi="Calibri" w:cs="Times New Roman"/>
                <w:color w:val="000000"/>
                <w:lang w:eastAsia="es-CR"/>
              </w:rPr>
              <w:t xml:space="preserve">Por otra parte, </w:t>
            </w:r>
            <w:r w:rsidR="00A04C7A">
              <w:rPr>
                <w:rFonts w:ascii="Calibri" w:eastAsia="Times New Roman" w:hAnsi="Calibri" w:cs="Times New Roman"/>
                <w:color w:val="000000"/>
                <w:lang w:eastAsia="es-CR"/>
              </w:rPr>
              <w:t xml:space="preserve">tanto </w:t>
            </w:r>
            <w:r w:rsidR="002A1718">
              <w:rPr>
                <w:rFonts w:ascii="Calibri" w:eastAsia="Times New Roman" w:hAnsi="Calibri" w:cs="Times New Roman"/>
                <w:color w:val="000000"/>
                <w:lang w:eastAsia="es-CR"/>
              </w:rPr>
              <w:t xml:space="preserve">por razones de transparencia, </w:t>
            </w:r>
            <w:r w:rsidR="00A04C7A">
              <w:rPr>
                <w:rFonts w:ascii="Calibri" w:eastAsia="Times New Roman" w:hAnsi="Calibri" w:cs="Times New Roman"/>
                <w:color w:val="000000"/>
                <w:lang w:eastAsia="es-CR"/>
              </w:rPr>
              <w:t xml:space="preserve">como </w:t>
            </w:r>
            <w:r w:rsidR="002A1718">
              <w:rPr>
                <w:rFonts w:ascii="Calibri" w:eastAsia="Times New Roman" w:hAnsi="Calibri" w:cs="Times New Roman"/>
                <w:color w:val="000000"/>
                <w:lang w:eastAsia="es-CR"/>
              </w:rPr>
              <w:t xml:space="preserve">por la exigencia de fiscalización establecida en el artículo </w:t>
            </w:r>
            <w:r w:rsidR="00620C0D">
              <w:rPr>
                <w:rFonts w:ascii="Calibri" w:eastAsia="Times New Roman" w:hAnsi="Calibri" w:cs="Times New Roman"/>
                <w:color w:val="000000"/>
                <w:lang w:eastAsia="es-CR"/>
              </w:rPr>
              <w:t>6 inciso a)</w:t>
            </w:r>
            <w:r w:rsidR="002A1718">
              <w:rPr>
                <w:rFonts w:ascii="Calibri" w:eastAsia="Times New Roman" w:hAnsi="Calibri" w:cs="Times New Roman"/>
                <w:color w:val="000000"/>
                <w:lang w:eastAsia="es-CR"/>
              </w:rPr>
              <w:t xml:space="preserve"> </w:t>
            </w:r>
            <w:r w:rsidR="00620C0D">
              <w:rPr>
                <w:rFonts w:ascii="Calibri" w:eastAsia="Times New Roman" w:hAnsi="Calibri" w:cs="Times New Roman"/>
                <w:color w:val="000000"/>
                <w:lang w:eastAsia="es-CR"/>
              </w:rPr>
              <w:t xml:space="preserve">de la Ley 7593 de Aresep </w:t>
            </w:r>
            <w:r w:rsidR="002A1718">
              <w:rPr>
                <w:rFonts w:ascii="Calibri" w:eastAsia="Times New Roman" w:hAnsi="Calibri" w:cs="Times New Roman"/>
                <w:color w:val="000000"/>
                <w:lang w:eastAsia="es-CR"/>
              </w:rPr>
              <w:t xml:space="preserve">y </w:t>
            </w:r>
            <w:r w:rsidR="00620C0D">
              <w:rPr>
                <w:rFonts w:ascii="Calibri" w:eastAsia="Times New Roman" w:hAnsi="Calibri" w:cs="Times New Roman"/>
                <w:color w:val="000000"/>
                <w:lang w:eastAsia="es-CR"/>
              </w:rPr>
              <w:t>por la necesidad de</w:t>
            </w:r>
            <w:r w:rsidR="002A1718">
              <w:rPr>
                <w:rFonts w:ascii="Calibri" w:eastAsia="Times New Roman" w:hAnsi="Calibri" w:cs="Times New Roman"/>
                <w:color w:val="000000"/>
                <w:lang w:eastAsia="es-CR"/>
              </w:rPr>
              <w:t xml:space="preserve"> prote</w:t>
            </w:r>
            <w:r w:rsidR="00620C0D">
              <w:rPr>
                <w:rFonts w:ascii="Calibri" w:eastAsia="Times New Roman" w:hAnsi="Calibri" w:cs="Times New Roman"/>
                <w:color w:val="000000"/>
                <w:lang w:eastAsia="es-CR"/>
              </w:rPr>
              <w:t>ger</w:t>
            </w:r>
            <w:r w:rsidR="002A1718">
              <w:rPr>
                <w:rFonts w:ascii="Calibri" w:eastAsia="Times New Roman" w:hAnsi="Calibri" w:cs="Times New Roman"/>
                <w:color w:val="000000"/>
                <w:lang w:eastAsia="es-CR"/>
              </w:rPr>
              <w:t xml:space="preserve"> la parte más débil d</w:t>
            </w:r>
            <w:r w:rsidR="00620C0D">
              <w:rPr>
                <w:rFonts w:ascii="Calibri" w:eastAsia="Times New Roman" w:hAnsi="Calibri" w:cs="Times New Roman"/>
                <w:color w:val="000000"/>
                <w:lang w:eastAsia="es-CR"/>
              </w:rPr>
              <w:t xml:space="preserve">e </w:t>
            </w:r>
            <w:r w:rsidR="002A1718">
              <w:rPr>
                <w:rFonts w:ascii="Calibri" w:eastAsia="Times New Roman" w:hAnsi="Calibri" w:cs="Times New Roman"/>
                <w:color w:val="000000"/>
                <w:lang w:eastAsia="es-CR"/>
              </w:rPr>
              <w:t xml:space="preserve">la relación </w:t>
            </w:r>
            <w:r>
              <w:rPr>
                <w:rFonts w:ascii="Calibri" w:eastAsia="Times New Roman" w:hAnsi="Calibri" w:cs="Times New Roman"/>
                <w:color w:val="000000"/>
                <w:lang w:eastAsia="es-CR"/>
              </w:rPr>
              <w:t xml:space="preserve">de servicio </w:t>
            </w:r>
            <w:r w:rsidR="002A1718">
              <w:rPr>
                <w:rFonts w:ascii="Calibri" w:eastAsia="Times New Roman" w:hAnsi="Calibri" w:cs="Times New Roman"/>
                <w:color w:val="000000"/>
                <w:lang w:eastAsia="es-CR"/>
              </w:rPr>
              <w:t>(los abonados)</w:t>
            </w:r>
            <w:r w:rsidR="00620C0D">
              <w:rPr>
                <w:rFonts w:ascii="Calibri" w:eastAsia="Times New Roman" w:hAnsi="Calibri" w:cs="Times New Roman"/>
                <w:color w:val="000000"/>
                <w:lang w:eastAsia="es-CR"/>
              </w:rPr>
              <w:t>, es necesario fortalecer, ampliar y sistematizar los procesos de fiscalización de los servicios regulados. Con ese fin, el suscrito desarrolló y presentó las herramientas que se describen seguidamente.</w:t>
            </w:r>
          </w:p>
          <w:p w:rsidR="002A1718" w:rsidRDefault="002A1718" w:rsidP="009F478C">
            <w:pPr>
              <w:spacing w:after="0" w:line="240" w:lineRule="auto"/>
              <w:jc w:val="both"/>
              <w:rPr>
                <w:rFonts w:ascii="Calibri" w:eastAsia="Times New Roman" w:hAnsi="Calibri" w:cs="Times New Roman"/>
                <w:color w:val="000000"/>
                <w:lang w:eastAsia="es-CR"/>
              </w:rPr>
            </w:pPr>
          </w:p>
          <w:p w:rsidR="00A242F7" w:rsidRPr="001501D2" w:rsidRDefault="002A1718" w:rsidP="009F478C">
            <w:pPr>
              <w:spacing w:after="0" w:line="240" w:lineRule="auto"/>
              <w:jc w:val="both"/>
              <w:rPr>
                <w:rFonts w:ascii="Calibri" w:eastAsia="Times New Roman" w:hAnsi="Calibri" w:cs="Times New Roman"/>
                <w:i/>
                <w:color w:val="000000"/>
                <w:lang w:eastAsia="es-CR"/>
              </w:rPr>
            </w:pPr>
            <w:r w:rsidRPr="001501D2">
              <w:rPr>
                <w:rFonts w:ascii="Calibri" w:eastAsia="Times New Roman" w:hAnsi="Calibri" w:cs="Times New Roman"/>
                <w:i/>
                <w:color w:val="000000"/>
                <w:lang w:eastAsia="es-CR"/>
              </w:rPr>
              <w:t xml:space="preserve">c.1. </w:t>
            </w:r>
            <w:r w:rsidR="00A242F7" w:rsidRPr="001501D2">
              <w:rPr>
                <w:rFonts w:ascii="Calibri" w:eastAsia="Times New Roman" w:hAnsi="Calibri" w:cs="Times New Roman"/>
                <w:i/>
                <w:color w:val="000000"/>
                <w:lang w:eastAsia="es-CR"/>
              </w:rPr>
              <w:t>Manual de fiscalización de la IA</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5745EF">
            <w:pPr>
              <w:spacing w:after="0" w:line="240" w:lineRule="auto"/>
              <w:ind w:firstLineChars="100" w:firstLine="220"/>
              <w:jc w:val="both"/>
              <w:rPr>
                <w:rFonts w:ascii="Calibri" w:eastAsia="Times New Roman" w:hAnsi="Calibri" w:cs="Times New Roman"/>
                <w:color w:val="000000"/>
                <w:lang w:eastAsia="es-CR"/>
              </w:rPr>
            </w:pPr>
          </w:p>
          <w:p w:rsidR="002A1718" w:rsidRDefault="00E2295B"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Este manual presenta la base legal, objetivos, alcance, metodología, hechos generadores, fuentes de información, responsables, tipos de fiscalización, gestión de la documentación e informes a generar durante la ejecución de los procesos de fiscalización. (Ver Anexo </w:t>
            </w:r>
            <w:r w:rsidR="00355F6D">
              <w:rPr>
                <w:rFonts w:ascii="Calibri" w:eastAsia="Times New Roman" w:hAnsi="Calibri" w:cs="Times New Roman"/>
                <w:color w:val="000000"/>
                <w:lang w:eastAsia="es-CR"/>
              </w:rPr>
              <w:t>1</w:t>
            </w:r>
            <w:r w:rsidR="006F5999">
              <w:rPr>
                <w:rFonts w:ascii="Calibri" w:eastAsia="Times New Roman" w:hAnsi="Calibri" w:cs="Times New Roman"/>
                <w:color w:val="000000"/>
                <w:lang w:eastAsia="es-CR"/>
              </w:rPr>
              <w:t>2</w:t>
            </w:r>
            <w:r>
              <w:rPr>
                <w:rFonts w:ascii="Calibri" w:eastAsia="Times New Roman" w:hAnsi="Calibri" w:cs="Times New Roman"/>
                <w:color w:val="000000"/>
                <w:lang w:eastAsia="es-CR"/>
              </w:rPr>
              <w:t>).</w:t>
            </w:r>
          </w:p>
          <w:p w:rsidR="002A1718" w:rsidRDefault="002A1718" w:rsidP="009F478C">
            <w:pPr>
              <w:spacing w:after="0" w:line="240" w:lineRule="auto"/>
              <w:jc w:val="both"/>
              <w:rPr>
                <w:rFonts w:ascii="Calibri" w:eastAsia="Times New Roman" w:hAnsi="Calibri" w:cs="Times New Roman"/>
                <w:color w:val="000000"/>
                <w:lang w:eastAsia="es-CR"/>
              </w:rPr>
            </w:pPr>
          </w:p>
          <w:p w:rsidR="00A242F7" w:rsidRPr="001501D2" w:rsidRDefault="002A1718" w:rsidP="009F478C">
            <w:pPr>
              <w:spacing w:after="0" w:line="240" w:lineRule="auto"/>
              <w:jc w:val="both"/>
              <w:rPr>
                <w:rFonts w:ascii="Calibri" w:eastAsia="Times New Roman" w:hAnsi="Calibri" w:cs="Times New Roman"/>
                <w:i/>
                <w:color w:val="000000"/>
                <w:lang w:eastAsia="es-CR"/>
              </w:rPr>
            </w:pPr>
            <w:r w:rsidRPr="001501D2">
              <w:rPr>
                <w:rFonts w:ascii="Calibri" w:eastAsia="Times New Roman" w:hAnsi="Calibri" w:cs="Times New Roman"/>
                <w:i/>
                <w:color w:val="000000"/>
                <w:lang w:eastAsia="es-CR"/>
              </w:rPr>
              <w:t xml:space="preserve">c.2. </w:t>
            </w:r>
            <w:r w:rsidR="00A242F7" w:rsidRPr="001501D2">
              <w:rPr>
                <w:rFonts w:ascii="Calibri" w:eastAsia="Times New Roman" w:hAnsi="Calibri" w:cs="Times New Roman"/>
                <w:i/>
                <w:color w:val="000000"/>
                <w:lang w:eastAsia="es-CR"/>
              </w:rPr>
              <w:t>Guía de fiscalización técnica de</w:t>
            </w:r>
            <w:r w:rsidR="001501D2">
              <w:rPr>
                <w:rFonts w:ascii="Calibri" w:eastAsia="Times New Roman" w:hAnsi="Calibri" w:cs="Times New Roman"/>
                <w:i/>
                <w:color w:val="000000"/>
                <w:lang w:eastAsia="es-CR"/>
              </w:rPr>
              <w:t xml:space="preserve"> los servicios regulados por</w:t>
            </w:r>
            <w:r w:rsidR="00A242F7" w:rsidRPr="001501D2">
              <w:rPr>
                <w:rFonts w:ascii="Calibri" w:eastAsia="Times New Roman" w:hAnsi="Calibri" w:cs="Times New Roman"/>
                <w:i/>
                <w:color w:val="000000"/>
                <w:lang w:eastAsia="es-CR"/>
              </w:rPr>
              <w:t xml:space="preserve"> la IA</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5745EF">
            <w:pPr>
              <w:spacing w:after="0" w:line="240" w:lineRule="auto"/>
              <w:ind w:firstLineChars="100" w:firstLine="220"/>
              <w:jc w:val="both"/>
              <w:rPr>
                <w:rFonts w:ascii="Calibri" w:eastAsia="Times New Roman" w:hAnsi="Calibri" w:cs="Times New Roman"/>
                <w:color w:val="000000"/>
                <w:lang w:eastAsia="es-CR"/>
              </w:rPr>
            </w:pPr>
          </w:p>
          <w:p w:rsidR="00E2295B" w:rsidRDefault="00E2295B" w:rsidP="00E2295B">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La guía de fiscalización técnica se basa en las normas establecidas en el Manual de Fiscalización de la IA.  En él se presentan los objetivos, alcance técnico detallado (variables a fiscalizar), responsables, formas de obtención y documentación de evidencia y normas sobre conclusiones, disposiciones, recomendaciones y seguimiento. (Ver Anexo 1</w:t>
            </w:r>
            <w:r w:rsidR="006F5999">
              <w:rPr>
                <w:rFonts w:ascii="Calibri" w:eastAsia="Times New Roman" w:hAnsi="Calibri" w:cs="Times New Roman"/>
                <w:color w:val="000000"/>
                <w:lang w:eastAsia="es-CR"/>
              </w:rPr>
              <w:t>3</w:t>
            </w:r>
            <w:r>
              <w:rPr>
                <w:rFonts w:ascii="Calibri" w:eastAsia="Times New Roman" w:hAnsi="Calibri" w:cs="Times New Roman"/>
                <w:color w:val="000000"/>
                <w:lang w:eastAsia="es-CR"/>
              </w:rPr>
              <w:t>).</w:t>
            </w:r>
          </w:p>
          <w:p w:rsidR="002A1718" w:rsidRDefault="002A1718" w:rsidP="009F478C">
            <w:pPr>
              <w:spacing w:after="0" w:line="240" w:lineRule="auto"/>
              <w:jc w:val="both"/>
              <w:rPr>
                <w:rFonts w:ascii="Calibri" w:eastAsia="Times New Roman" w:hAnsi="Calibri" w:cs="Times New Roman"/>
                <w:color w:val="000000"/>
                <w:lang w:eastAsia="es-CR"/>
              </w:rPr>
            </w:pPr>
          </w:p>
          <w:p w:rsidR="00A242F7" w:rsidRPr="001501D2" w:rsidRDefault="002A1718" w:rsidP="009F478C">
            <w:pPr>
              <w:spacing w:after="0" w:line="240" w:lineRule="auto"/>
              <w:jc w:val="both"/>
              <w:rPr>
                <w:rFonts w:ascii="Calibri" w:eastAsia="Times New Roman" w:hAnsi="Calibri" w:cs="Times New Roman"/>
                <w:i/>
                <w:color w:val="000000"/>
                <w:lang w:eastAsia="es-CR"/>
              </w:rPr>
            </w:pPr>
            <w:r w:rsidRPr="001501D2">
              <w:rPr>
                <w:rFonts w:ascii="Calibri" w:eastAsia="Times New Roman" w:hAnsi="Calibri" w:cs="Times New Roman"/>
                <w:i/>
                <w:color w:val="000000"/>
                <w:lang w:eastAsia="es-CR"/>
              </w:rPr>
              <w:t xml:space="preserve">c.3. </w:t>
            </w:r>
            <w:r w:rsidR="00A242F7" w:rsidRPr="001501D2">
              <w:rPr>
                <w:rFonts w:ascii="Calibri" w:eastAsia="Times New Roman" w:hAnsi="Calibri" w:cs="Times New Roman"/>
                <w:i/>
                <w:color w:val="000000"/>
                <w:lang w:eastAsia="es-CR"/>
              </w:rPr>
              <w:t xml:space="preserve">Guía de fiscalización económico financiera de </w:t>
            </w:r>
            <w:r w:rsidR="001501D2">
              <w:rPr>
                <w:rFonts w:ascii="Calibri" w:eastAsia="Times New Roman" w:hAnsi="Calibri" w:cs="Times New Roman"/>
                <w:i/>
                <w:color w:val="000000"/>
                <w:lang w:eastAsia="es-CR"/>
              </w:rPr>
              <w:t xml:space="preserve">los servicios regulados por </w:t>
            </w:r>
            <w:r w:rsidR="00A242F7" w:rsidRPr="001501D2">
              <w:rPr>
                <w:rFonts w:ascii="Calibri" w:eastAsia="Times New Roman" w:hAnsi="Calibri" w:cs="Times New Roman"/>
                <w:i/>
                <w:color w:val="000000"/>
                <w:lang w:eastAsia="es-CR"/>
              </w:rPr>
              <w:t>la IA</w:t>
            </w:r>
          </w:p>
          <w:p w:rsidR="002A1718" w:rsidRDefault="002A1718" w:rsidP="009F478C">
            <w:pPr>
              <w:spacing w:after="0" w:line="240" w:lineRule="auto"/>
              <w:jc w:val="both"/>
              <w:rPr>
                <w:rFonts w:ascii="Calibri" w:eastAsia="Times New Roman" w:hAnsi="Calibri" w:cs="Times New Roman"/>
                <w:color w:val="000000"/>
                <w:lang w:eastAsia="es-CR"/>
              </w:rPr>
            </w:pPr>
          </w:p>
          <w:p w:rsidR="002A1718" w:rsidRDefault="00E2295B" w:rsidP="006F5999">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De manera similar y consistente con la guía de fiscalización técnica, la guía de fiscalización económico financiera describe los objetivos, alcance económico financiero detallado (variables a fiscalizar), responsables, formas de obtención y documentación de evidencia y normas sobre conclusiones, disposiciones, recomendaciones y seguimiento. (Ver Anexo 1</w:t>
            </w:r>
            <w:r w:rsidR="006F5999">
              <w:rPr>
                <w:rFonts w:ascii="Calibri" w:eastAsia="Times New Roman" w:hAnsi="Calibri" w:cs="Times New Roman"/>
                <w:color w:val="000000"/>
                <w:lang w:eastAsia="es-CR"/>
              </w:rPr>
              <w:t>4</w:t>
            </w:r>
            <w:r>
              <w:rPr>
                <w:rFonts w:ascii="Calibri" w:eastAsia="Times New Roman" w:hAnsi="Calibri" w:cs="Times New Roman"/>
                <w:color w:val="000000"/>
                <w:lang w:eastAsia="es-CR"/>
              </w:rPr>
              <w:t>).</w:t>
            </w:r>
          </w:p>
          <w:p w:rsidR="00037220" w:rsidRPr="00A242F7" w:rsidRDefault="00037220" w:rsidP="006F5999">
            <w:pPr>
              <w:spacing w:after="0" w:line="240" w:lineRule="auto"/>
              <w:jc w:val="both"/>
              <w:rPr>
                <w:rFonts w:ascii="Calibri" w:eastAsia="Times New Roman" w:hAnsi="Calibri" w:cs="Times New Roman"/>
                <w:color w:val="000000"/>
                <w:lang w:eastAsia="es-CR"/>
              </w:rPr>
            </w:pPr>
          </w:p>
        </w:tc>
      </w:tr>
      <w:tr w:rsidR="00A242F7" w:rsidRPr="00A242F7" w:rsidTr="00A242F7">
        <w:trPr>
          <w:trHeight w:val="276"/>
        </w:trPr>
        <w:tc>
          <w:tcPr>
            <w:tcW w:w="8480" w:type="dxa"/>
            <w:tcBorders>
              <w:top w:val="nil"/>
              <w:left w:val="nil"/>
              <w:bottom w:val="nil"/>
              <w:right w:val="nil"/>
            </w:tcBorders>
            <w:shd w:val="clear" w:color="auto" w:fill="auto"/>
            <w:noWrap/>
            <w:vAlign w:val="bottom"/>
            <w:hideMark/>
          </w:tcPr>
          <w:p w:rsidR="00A242F7" w:rsidRPr="00A242F7" w:rsidRDefault="00A242F7" w:rsidP="00E2295B">
            <w:pPr>
              <w:spacing w:after="0" w:line="240" w:lineRule="auto"/>
              <w:jc w:val="both"/>
              <w:rPr>
                <w:rFonts w:ascii="Calibri" w:eastAsia="Times New Roman" w:hAnsi="Calibri" w:cs="Times New Roman"/>
                <w:color w:val="000000"/>
                <w:lang w:eastAsia="es-CR"/>
              </w:rPr>
            </w:pPr>
          </w:p>
        </w:tc>
      </w:tr>
      <w:tr w:rsidR="00A242F7" w:rsidRPr="00E2295B" w:rsidTr="00A242F7">
        <w:trPr>
          <w:trHeight w:val="288"/>
        </w:trPr>
        <w:tc>
          <w:tcPr>
            <w:tcW w:w="8480" w:type="dxa"/>
            <w:tcBorders>
              <w:top w:val="nil"/>
              <w:left w:val="nil"/>
              <w:bottom w:val="nil"/>
              <w:right w:val="nil"/>
            </w:tcBorders>
            <w:shd w:val="clear" w:color="auto" w:fill="auto"/>
            <w:noWrap/>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25" w:name="_Toc451425950"/>
            <w:bookmarkStart w:id="26" w:name="_Toc451426714"/>
            <w:r w:rsidRPr="00A242F7">
              <w:rPr>
                <w:rFonts w:ascii="Calibri" w:eastAsia="Times New Roman" w:hAnsi="Calibri" w:cs="Times New Roman"/>
                <w:b/>
                <w:bCs/>
                <w:color w:val="000000"/>
                <w:lang w:eastAsia="es-CR"/>
              </w:rPr>
              <w:lastRenderedPageBreak/>
              <w:t>Capacitación</w:t>
            </w:r>
            <w:bookmarkEnd w:id="25"/>
            <w:bookmarkEnd w:id="26"/>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7345DD" w:rsidRPr="00037220" w:rsidRDefault="007345DD" w:rsidP="009F478C">
            <w:pPr>
              <w:spacing w:after="0" w:line="240" w:lineRule="auto"/>
              <w:jc w:val="both"/>
              <w:rPr>
                <w:rFonts w:ascii="Calibri" w:eastAsia="Times New Roman" w:hAnsi="Calibri" w:cs="Times New Roman"/>
                <w:color w:val="000000"/>
                <w:sz w:val="8"/>
                <w:lang w:eastAsia="es-CR"/>
              </w:rPr>
            </w:pPr>
          </w:p>
          <w:p w:rsidR="007345DD" w:rsidRDefault="00436E2A"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La capacitación y desarrollo del personal –profesional, técnico y administrativo- es esencial para el cumplimiento de las obligaciones </w:t>
            </w:r>
            <w:r w:rsidR="00A04C7A">
              <w:rPr>
                <w:rFonts w:ascii="Calibri" w:eastAsia="Times New Roman" w:hAnsi="Calibri" w:cs="Times New Roman"/>
                <w:color w:val="000000"/>
                <w:lang w:eastAsia="es-CR"/>
              </w:rPr>
              <w:t>establecidas en</w:t>
            </w:r>
            <w:r>
              <w:rPr>
                <w:rFonts w:ascii="Calibri" w:eastAsia="Times New Roman" w:hAnsi="Calibri" w:cs="Times New Roman"/>
                <w:color w:val="000000"/>
                <w:lang w:eastAsia="es-CR"/>
              </w:rPr>
              <w:t xml:space="preserve"> la Ley 7593 de Aresep y el RIOF (Reglamento Interno de Organización y Funciones). Aunque se cuenta con personal con amplia experiencia y diversa formación, siempre existen nuevos desafíos que demandan una actualización permanente de sus conocimientos y competencias. Con ese fin, se desarrollaron ciertos instrumentos que vienen a facilitar y sistematizar las tareas relacionadas con la gestión de la capacitación y desarrollo del personal de la intendencia, lo cuales se describen seguidamente.</w:t>
            </w:r>
          </w:p>
          <w:p w:rsidR="00436E2A" w:rsidRDefault="00436E2A" w:rsidP="009F478C">
            <w:pPr>
              <w:spacing w:after="0" w:line="240" w:lineRule="auto"/>
              <w:jc w:val="both"/>
              <w:rPr>
                <w:rFonts w:ascii="Calibri" w:eastAsia="Times New Roman" w:hAnsi="Calibri" w:cs="Times New Roman"/>
                <w:color w:val="000000"/>
                <w:lang w:eastAsia="es-CR"/>
              </w:rPr>
            </w:pPr>
          </w:p>
          <w:p w:rsidR="00A242F7" w:rsidRPr="007345DD" w:rsidRDefault="007345DD" w:rsidP="009F478C">
            <w:pPr>
              <w:spacing w:after="0" w:line="240" w:lineRule="auto"/>
              <w:jc w:val="both"/>
              <w:rPr>
                <w:rFonts w:ascii="Calibri" w:eastAsia="Times New Roman" w:hAnsi="Calibri" w:cs="Times New Roman"/>
                <w:i/>
                <w:color w:val="000000"/>
                <w:lang w:eastAsia="es-CR"/>
              </w:rPr>
            </w:pPr>
            <w:r>
              <w:rPr>
                <w:rFonts w:ascii="Calibri" w:eastAsia="Times New Roman" w:hAnsi="Calibri" w:cs="Times New Roman"/>
                <w:i/>
                <w:color w:val="000000"/>
                <w:lang w:eastAsia="es-CR"/>
              </w:rPr>
              <w:t xml:space="preserve">d.1. </w:t>
            </w:r>
            <w:r w:rsidR="00A242F7" w:rsidRPr="007345DD">
              <w:rPr>
                <w:rFonts w:ascii="Calibri" w:eastAsia="Times New Roman" w:hAnsi="Calibri" w:cs="Times New Roman"/>
                <w:i/>
                <w:color w:val="000000"/>
                <w:lang w:eastAsia="es-CR"/>
              </w:rPr>
              <w:t>Guía para elaborar el plan de capacitación de la IA</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436E2A">
            <w:pPr>
              <w:spacing w:after="0" w:line="240" w:lineRule="auto"/>
              <w:jc w:val="both"/>
              <w:rPr>
                <w:rFonts w:ascii="Calibri" w:eastAsia="Times New Roman" w:hAnsi="Calibri" w:cs="Times New Roman"/>
                <w:color w:val="000000"/>
                <w:lang w:eastAsia="es-CR"/>
              </w:rPr>
            </w:pPr>
          </w:p>
          <w:p w:rsidR="007345DD" w:rsidRDefault="00436E2A"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Se preparó una </w:t>
            </w:r>
            <w:r w:rsidR="00BA17CC">
              <w:rPr>
                <w:rFonts w:ascii="Calibri" w:eastAsia="Times New Roman" w:hAnsi="Calibri" w:cs="Times New Roman"/>
                <w:color w:val="000000"/>
                <w:lang w:eastAsia="es-CR"/>
              </w:rPr>
              <w:t>g</w:t>
            </w:r>
            <w:r>
              <w:rPr>
                <w:rFonts w:ascii="Calibri" w:eastAsia="Times New Roman" w:hAnsi="Calibri" w:cs="Times New Roman"/>
                <w:color w:val="000000"/>
                <w:lang w:eastAsia="es-CR"/>
              </w:rPr>
              <w:t>uía</w:t>
            </w:r>
            <w:r w:rsidR="00BA17CC">
              <w:rPr>
                <w:rFonts w:ascii="Calibri" w:eastAsia="Times New Roman" w:hAnsi="Calibri" w:cs="Times New Roman"/>
                <w:color w:val="000000"/>
                <w:lang w:eastAsia="es-CR"/>
              </w:rPr>
              <w:t xml:space="preserve"> del “Proceso del Plan de Capacitación”, la cual incluye los objetivos y el alcance, el proceso de elaboración, ejecución y seguimiento del plan, los lineamientos de la política de capacitación, las prioridades, la detección de necesidades de capacitación (DNCs), la forma de especificar las acciones a realizar, el registro de las acciones, la actualización del plan, la Matriz del Plan de Capacitación (en Excel), los responsables de cada fase</w:t>
            </w:r>
            <w:r w:rsidR="009448B3">
              <w:rPr>
                <w:rFonts w:ascii="Calibri" w:eastAsia="Times New Roman" w:hAnsi="Calibri" w:cs="Times New Roman"/>
                <w:color w:val="000000"/>
                <w:lang w:eastAsia="es-CR"/>
              </w:rPr>
              <w:t xml:space="preserve"> y los informes y reportes que se deben presentar</w:t>
            </w:r>
            <w:r w:rsidR="00A04C7A">
              <w:rPr>
                <w:rFonts w:ascii="Calibri" w:eastAsia="Times New Roman" w:hAnsi="Calibri" w:cs="Times New Roman"/>
                <w:color w:val="000000"/>
                <w:lang w:eastAsia="es-CR"/>
              </w:rPr>
              <w:t xml:space="preserve"> para dar el debido seguimiento a los resultados</w:t>
            </w:r>
            <w:r w:rsidR="009448B3">
              <w:rPr>
                <w:rFonts w:ascii="Calibri" w:eastAsia="Times New Roman" w:hAnsi="Calibri" w:cs="Times New Roman"/>
                <w:color w:val="000000"/>
                <w:lang w:eastAsia="es-CR"/>
              </w:rPr>
              <w:t xml:space="preserve">. </w:t>
            </w:r>
            <w:r w:rsidR="00481CDB">
              <w:rPr>
                <w:rFonts w:ascii="Calibri" w:eastAsia="Times New Roman" w:hAnsi="Calibri" w:cs="Times New Roman"/>
                <w:color w:val="000000"/>
                <w:lang w:eastAsia="es-CR"/>
              </w:rPr>
              <w:t>(</w:t>
            </w:r>
            <w:r w:rsidR="009448B3">
              <w:rPr>
                <w:rFonts w:ascii="Calibri" w:eastAsia="Times New Roman" w:hAnsi="Calibri" w:cs="Times New Roman"/>
                <w:color w:val="000000"/>
                <w:lang w:eastAsia="es-CR"/>
              </w:rPr>
              <w:t>Ver Anexo 1</w:t>
            </w:r>
            <w:r w:rsidR="006F5999">
              <w:rPr>
                <w:rFonts w:ascii="Calibri" w:eastAsia="Times New Roman" w:hAnsi="Calibri" w:cs="Times New Roman"/>
                <w:color w:val="000000"/>
                <w:lang w:eastAsia="es-CR"/>
              </w:rPr>
              <w:t>5</w:t>
            </w:r>
            <w:r w:rsidR="009448B3">
              <w:rPr>
                <w:rFonts w:ascii="Calibri" w:eastAsia="Times New Roman" w:hAnsi="Calibri" w:cs="Times New Roman"/>
                <w:color w:val="000000"/>
                <w:lang w:eastAsia="es-CR"/>
              </w:rPr>
              <w:t>).</w:t>
            </w:r>
          </w:p>
          <w:p w:rsidR="007345DD" w:rsidRDefault="007345DD" w:rsidP="009F478C">
            <w:pPr>
              <w:spacing w:after="0" w:line="240" w:lineRule="auto"/>
              <w:jc w:val="both"/>
              <w:rPr>
                <w:rFonts w:ascii="Calibri" w:eastAsia="Times New Roman" w:hAnsi="Calibri" w:cs="Times New Roman"/>
                <w:color w:val="000000"/>
                <w:lang w:eastAsia="es-CR"/>
              </w:rPr>
            </w:pPr>
          </w:p>
          <w:p w:rsidR="00A242F7" w:rsidRPr="007345DD" w:rsidRDefault="007345DD" w:rsidP="009F478C">
            <w:pPr>
              <w:spacing w:after="0" w:line="240" w:lineRule="auto"/>
              <w:jc w:val="both"/>
              <w:rPr>
                <w:rFonts w:ascii="Calibri" w:eastAsia="Times New Roman" w:hAnsi="Calibri" w:cs="Times New Roman"/>
                <w:i/>
                <w:color w:val="000000"/>
                <w:lang w:eastAsia="es-CR"/>
              </w:rPr>
            </w:pPr>
            <w:r>
              <w:rPr>
                <w:rFonts w:ascii="Calibri" w:eastAsia="Times New Roman" w:hAnsi="Calibri" w:cs="Times New Roman"/>
                <w:i/>
                <w:color w:val="000000"/>
                <w:lang w:eastAsia="es-CR"/>
              </w:rPr>
              <w:t xml:space="preserve">d.2. </w:t>
            </w:r>
            <w:r w:rsidR="00A242F7" w:rsidRPr="007345DD">
              <w:rPr>
                <w:rFonts w:ascii="Calibri" w:eastAsia="Times New Roman" w:hAnsi="Calibri" w:cs="Times New Roman"/>
                <w:i/>
                <w:color w:val="000000"/>
                <w:lang w:eastAsia="es-CR"/>
              </w:rPr>
              <w:t>Matriz de planificación, seguimiento y control de la capacitación</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5745EF">
            <w:pPr>
              <w:spacing w:after="0" w:line="240" w:lineRule="auto"/>
              <w:ind w:firstLineChars="100" w:firstLine="220"/>
              <w:jc w:val="both"/>
              <w:rPr>
                <w:rFonts w:ascii="Calibri" w:eastAsia="Times New Roman" w:hAnsi="Calibri" w:cs="Times New Roman"/>
                <w:color w:val="000000"/>
                <w:lang w:eastAsia="es-CR"/>
              </w:rPr>
            </w:pPr>
          </w:p>
          <w:p w:rsidR="007345DD" w:rsidRDefault="009448B3"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La Matriz del Plan de Capacitación es una herramienta en Excel que facilita el registro y sistematización de los planes de capacitación, así como el seguimiento y control del mismo y la generación de indicadores relevantes de los resultados obtenidos. </w:t>
            </w:r>
          </w:p>
          <w:p w:rsidR="007345DD" w:rsidRDefault="007345DD" w:rsidP="009F478C">
            <w:pPr>
              <w:spacing w:after="0" w:line="240" w:lineRule="auto"/>
              <w:jc w:val="both"/>
              <w:rPr>
                <w:rFonts w:ascii="Calibri" w:eastAsia="Times New Roman" w:hAnsi="Calibri" w:cs="Times New Roman"/>
                <w:color w:val="000000"/>
                <w:lang w:eastAsia="es-CR"/>
              </w:rPr>
            </w:pPr>
          </w:p>
          <w:p w:rsidR="00A242F7" w:rsidRPr="007345DD" w:rsidRDefault="007345DD" w:rsidP="00304333">
            <w:pPr>
              <w:spacing w:after="0" w:line="240" w:lineRule="auto"/>
              <w:jc w:val="both"/>
              <w:rPr>
                <w:rFonts w:ascii="Calibri" w:eastAsia="Times New Roman" w:hAnsi="Calibri" w:cs="Times New Roman"/>
                <w:i/>
                <w:color w:val="000000"/>
                <w:lang w:eastAsia="es-CR"/>
              </w:rPr>
            </w:pPr>
            <w:r>
              <w:rPr>
                <w:rFonts w:ascii="Calibri" w:eastAsia="Times New Roman" w:hAnsi="Calibri" w:cs="Times New Roman"/>
                <w:i/>
                <w:color w:val="000000"/>
                <w:lang w:eastAsia="es-CR"/>
              </w:rPr>
              <w:t>d.</w:t>
            </w:r>
            <w:r w:rsidR="00304333">
              <w:rPr>
                <w:rFonts w:ascii="Calibri" w:eastAsia="Times New Roman" w:hAnsi="Calibri" w:cs="Times New Roman"/>
                <w:i/>
                <w:color w:val="000000"/>
                <w:lang w:eastAsia="es-CR"/>
              </w:rPr>
              <w:t>3</w:t>
            </w:r>
            <w:r>
              <w:rPr>
                <w:rFonts w:ascii="Calibri" w:eastAsia="Times New Roman" w:hAnsi="Calibri" w:cs="Times New Roman"/>
                <w:i/>
                <w:color w:val="000000"/>
                <w:lang w:eastAsia="es-CR"/>
              </w:rPr>
              <w:t xml:space="preserve">. </w:t>
            </w:r>
            <w:r w:rsidR="00A242F7" w:rsidRPr="007345DD">
              <w:rPr>
                <w:rFonts w:ascii="Calibri" w:eastAsia="Times New Roman" w:hAnsi="Calibri" w:cs="Times New Roman"/>
                <w:i/>
                <w:color w:val="000000"/>
                <w:lang w:eastAsia="es-CR"/>
              </w:rPr>
              <w:t>Plan de capacitación 2015-2016</w:t>
            </w:r>
          </w:p>
        </w:tc>
      </w:tr>
      <w:tr w:rsidR="00A242F7" w:rsidRPr="00A242F7" w:rsidTr="00A242F7">
        <w:trPr>
          <w:trHeight w:val="276"/>
        </w:trPr>
        <w:tc>
          <w:tcPr>
            <w:tcW w:w="8480" w:type="dxa"/>
            <w:tcBorders>
              <w:top w:val="nil"/>
              <w:left w:val="nil"/>
              <w:bottom w:val="nil"/>
              <w:right w:val="nil"/>
            </w:tcBorders>
            <w:shd w:val="clear" w:color="auto" w:fill="auto"/>
            <w:noWrap/>
            <w:vAlign w:val="bottom"/>
            <w:hideMark/>
          </w:tcPr>
          <w:p w:rsidR="00A242F7" w:rsidRPr="00A242F7" w:rsidRDefault="00A242F7" w:rsidP="009448B3">
            <w:pPr>
              <w:spacing w:after="0" w:line="240" w:lineRule="auto"/>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noWrap/>
            <w:vAlign w:val="bottom"/>
            <w:hideMark/>
          </w:tcPr>
          <w:p w:rsidR="007345DD" w:rsidRPr="00C00BC0" w:rsidRDefault="009448B3" w:rsidP="00C00BC0">
            <w:pPr>
              <w:spacing w:after="0" w:line="240" w:lineRule="auto"/>
              <w:jc w:val="both"/>
              <w:rPr>
                <w:rFonts w:ascii="Calibri" w:eastAsia="Times New Roman" w:hAnsi="Calibri" w:cs="Times New Roman"/>
                <w:color w:val="000000"/>
                <w:lang w:eastAsia="es-CR"/>
              </w:rPr>
            </w:pPr>
            <w:bookmarkStart w:id="27" w:name="_Toc451425951"/>
            <w:r>
              <w:rPr>
                <w:rFonts w:ascii="Calibri" w:eastAsia="Times New Roman" w:hAnsi="Calibri" w:cs="Times New Roman"/>
                <w:color w:val="000000"/>
                <w:lang w:eastAsia="es-CR"/>
              </w:rPr>
              <w:t>En el Plan de Capacitación para el período 2015 – 2016 se aplicaron algunos de los componentes de esta herramienta. Las restantes secciones se pueden aplicar progresivamente conforme se cuente con la información necesaria.</w:t>
            </w:r>
            <w:bookmarkEnd w:id="27"/>
          </w:p>
          <w:p w:rsidR="007345DD" w:rsidRPr="00037220" w:rsidRDefault="007345DD" w:rsidP="00C00BC0">
            <w:pPr>
              <w:rPr>
                <w:rFonts w:ascii="Calibri" w:eastAsia="Times New Roman" w:hAnsi="Calibri" w:cs="Times New Roman"/>
                <w:b/>
                <w:bCs/>
                <w:color w:val="000000"/>
                <w:sz w:val="8"/>
                <w:lang w:eastAsia="es-CR"/>
              </w:rPr>
            </w:pPr>
          </w:p>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28" w:name="_Toc451425952"/>
            <w:bookmarkStart w:id="29" w:name="_Toc451426715"/>
            <w:r w:rsidRPr="00A242F7">
              <w:rPr>
                <w:rFonts w:ascii="Calibri" w:eastAsia="Times New Roman" w:hAnsi="Calibri" w:cs="Times New Roman"/>
                <w:b/>
                <w:bCs/>
                <w:color w:val="000000"/>
                <w:lang w:eastAsia="es-CR"/>
              </w:rPr>
              <w:t>Participación en comisiones</w:t>
            </w:r>
            <w:bookmarkEnd w:id="28"/>
            <w:bookmarkEnd w:id="29"/>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Pr="00037220" w:rsidRDefault="009F478C" w:rsidP="009F478C">
            <w:pPr>
              <w:spacing w:after="0" w:line="240" w:lineRule="auto"/>
              <w:jc w:val="both"/>
              <w:rPr>
                <w:rFonts w:ascii="Calibri" w:eastAsia="Times New Roman" w:hAnsi="Calibri" w:cs="Times New Roman"/>
                <w:color w:val="000000"/>
                <w:sz w:val="10"/>
                <w:lang w:eastAsia="es-CR"/>
              </w:rPr>
            </w:pPr>
          </w:p>
          <w:p w:rsidR="00A242F7" w:rsidRPr="00554F2D" w:rsidRDefault="00554F2D" w:rsidP="009F478C">
            <w:pPr>
              <w:spacing w:after="0" w:line="240" w:lineRule="auto"/>
              <w:jc w:val="both"/>
              <w:rPr>
                <w:rFonts w:ascii="Calibri" w:eastAsia="Times New Roman" w:hAnsi="Calibri" w:cs="Times New Roman"/>
                <w:i/>
                <w:color w:val="000000"/>
                <w:lang w:eastAsia="es-CR"/>
              </w:rPr>
            </w:pPr>
            <w:r w:rsidRPr="00554F2D">
              <w:rPr>
                <w:rFonts w:ascii="Calibri" w:eastAsia="Times New Roman" w:hAnsi="Calibri" w:cs="Times New Roman"/>
                <w:i/>
                <w:color w:val="000000"/>
                <w:lang w:eastAsia="es-CR"/>
              </w:rPr>
              <w:t xml:space="preserve">e.1. </w:t>
            </w:r>
            <w:r w:rsidR="00A242F7" w:rsidRPr="00554F2D">
              <w:rPr>
                <w:rFonts w:ascii="Calibri" w:eastAsia="Times New Roman" w:hAnsi="Calibri" w:cs="Times New Roman"/>
                <w:i/>
                <w:color w:val="000000"/>
                <w:lang w:eastAsia="es-CR"/>
              </w:rPr>
              <w:t xml:space="preserve">Coordinación de la comisión para el desarrollo del modelo de tarifas para los servicios de agua </w:t>
            </w:r>
            <w:r w:rsidR="00A04C7A">
              <w:rPr>
                <w:rFonts w:ascii="Calibri" w:eastAsia="Times New Roman" w:hAnsi="Calibri" w:cs="Times New Roman"/>
                <w:i/>
                <w:color w:val="000000"/>
                <w:lang w:eastAsia="es-CR"/>
              </w:rPr>
              <w:t xml:space="preserve">potable </w:t>
            </w:r>
            <w:r w:rsidR="00A242F7" w:rsidRPr="00554F2D">
              <w:rPr>
                <w:rFonts w:ascii="Calibri" w:eastAsia="Times New Roman" w:hAnsi="Calibri" w:cs="Times New Roman"/>
                <w:i/>
                <w:color w:val="000000"/>
                <w:lang w:eastAsia="es-CR"/>
              </w:rPr>
              <w:t>regulados</w:t>
            </w:r>
            <w:r w:rsidRPr="00554F2D">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Default="009F478C" w:rsidP="009F478C">
            <w:pPr>
              <w:spacing w:after="0" w:line="240" w:lineRule="auto"/>
              <w:jc w:val="both"/>
              <w:rPr>
                <w:rFonts w:ascii="Calibri" w:eastAsia="Times New Roman" w:hAnsi="Calibri" w:cs="Times New Roman"/>
                <w:color w:val="000000"/>
                <w:lang w:eastAsia="es-CR"/>
              </w:rPr>
            </w:pPr>
          </w:p>
          <w:p w:rsidR="00554F2D" w:rsidRDefault="00457188"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El suscrito tuvo a cargo la coordinación </w:t>
            </w:r>
            <w:r w:rsidRPr="00457188">
              <w:rPr>
                <w:rFonts w:ascii="Calibri" w:eastAsia="Times New Roman" w:hAnsi="Calibri" w:cs="Times New Roman"/>
                <w:color w:val="000000"/>
                <w:lang w:eastAsia="es-CR"/>
              </w:rPr>
              <w:t>de la comisión para el desarrollo del modelo de tarifas para los servicios de agua regulados</w:t>
            </w:r>
            <w:r>
              <w:rPr>
                <w:rFonts w:ascii="Calibri" w:eastAsia="Times New Roman" w:hAnsi="Calibri" w:cs="Times New Roman"/>
                <w:color w:val="000000"/>
                <w:lang w:eastAsia="es-CR"/>
              </w:rPr>
              <w:t xml:space="preserve"> (acueductos</w:t>
            </w:r>
            <w:r w:rsidR="00A04C7A">
              <w:rPr>
                <w:rFonts w:ascii="Calibri" w:eastAsia="Times New Roman" w:hAnsi="Calibri" w:cs="Times New Roman"/>
                <w:color w:val="000000"/>
                <w:lang w:eastAsia="es-CR"/>
              </w:rPr>
              <w:t xml:space="preserve">, alcantarillados, hidrantes y </w:t>
            </w:r>
            <w:r>
              <w:rPr>
                <w:rFonts w:ascii="Calibri" w:eastAsia="Times New Roman" w:hAnsi="Calibri" w:cs="Times New Roman"/>
                <w:color w:val="000000"/>
                <w:lang w:eastAsia="es-CR"/>
              </w:rPr>
              <w:t>el programa protección de los recurso hídricos</w:t>
            </w:r>
            <w:r w:rsidR="00A04C7A">
              <w:rPr>
                <w:rFonts w:ascii="Calibri" w:eastAsia="Times New Roman" w:hAnsi="Calibri" w:cs="Times New Roman"/>
                <w:color w:val="000000"/>
                <w:lang w:eastAsia="es-CR"/>
              </w:rPr>
              <w:t>)</w:t>
            </w:r>
            <w:r w:rsidRPr="00457188">
              <w:rPr>
                <w:rFonts w:ascii="Calibri" w:eastAsia="Times New Roman" w:hAnsi="Calibri" w:cs="Times New Roman"/>
                <w:color w:val="000000"/>
                <w:lang w:eastAsia="es-CR"/>
              </w:rPr>
              <w:t>.</w:t>
            </w:r>
            <w:r>
              <w:rPr>
                <w:rFonts w:ascii="Calibri" w:eastAsia="Times New Roman" w:hAnsi="Calibri" w:cs="Times New Roman"/>
                <w:color w:val="000000"/>
                <w:lang w:eastAsia="es-CR"/>
              </w:rPr>
              <w:t xml:space="preserve"> El desarrollo del modelo incluyó el trabajo en equipo que llevó a definir los antecedentes relevantes, el marco legal, los objetivos y alcances, la fórmula general</w:t>
            </w:r>
            <w:r w:rsidR="00A04C7A">
              <w:rPr>
                <w:rFonts w:ascii="Calibri" w:eastAsia="Times New Roman" w:hAnsi="Calibri" w:cs="Times New Roman"/>
                <w:color w:val="000000"/>
                <w:lang w:eastAsia="es-CR"/>
              </w:rPr>
              <w:t xml:space="preserve"> tarifaria</w:t>
            </w:r>
            <w:r>
              <w:rPr>
                <w:rFonts w:ascii="Calibri" w:eastAsia="Times New Roman" w:hAnsi="Calibri" w:cs="Times New Roman"/>
                <w:color w:val="000000"/>
                <w:lang w:eastAsia="es-CR"/>
              </w:rPr>
              <w:t xml:space="preserve">, el detalle de cada uno de los componentes del proceso de cálculo, el tratamiento del tipo de cambio, la demanda, la eficiencia, la prestación de servicios al por mayor entre operadores regulados, la reglas para la formulación de los planes de inversión del operador, la devolución de fondos no ejecutados oportunamente, etc. </w:t>
            </w:r>
          </w:p>
          <w:p w:rsidR="00554F2D" w:rsidRDefault="00554F2D" w:rsidP="009F478C">
            <w:pPr>
              <w:spacing w:after="0" w:line="240" w:lineRule="auto"/>
              <w:jc w:val="both"/>
              <w:rPr>
                <w:rFonts w:ascii="Calibri" w:eastAsia="Times New Roman" w:hAnsi="Calibri" w:cs="Times New Roman"/>
                <w:color w:val="000000"/>
                <w:lang w:eastAsia="es-CR"/>
              </w:rPr>
            </w:pPr>
          </w:p>
          <w:p w:rsidR="00037220" w:rsidRDefault="00037220" w:rsidP="009F478C">
            <w:pPr>
              <w:spacing w:after="0" w:line="240" w:lineRule="auto"/>
              <w:jc w:val="both"/>
              <w:rPr>
                <w:rFonts w:ascii="Calibri" w:eastAsia="Times New Roman" w:hAnsi="Calibri" w:cs="Times New Roman"/>
                <w:color w:val="000000"/>
                <w:lang w:eastAsia="es-CR"/>
              </w:rPr>
            </w:pPr>
          </w:p>
          <w:p w:rsidR="00037220" w:rsidRDefault="00037220" w:rsidP="009F478C">
            <w:pPr>
              <w:spacing w:after="0" w:line="240" w:lineRule="auto"/>
              <w:jc w:val="both"/>
              <w:rPr>
                <w:rFonts w:ascii="Calibri" w:eastAsia="Times New Roman" w:hAnsi="Calibri" w:cs="Times New Roman"/>
                <w:color w:val="000000"/>
                <w:lang w:eastAsia="es-CR"/>
              </w:rPr>
            </w:pPr>
          </w:p>
          <w:p w:rsidR="00A242F7" w:rsidRPr="00A242F7" w:rsidRDefault="00554F2D"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i/>
                <w:color w:val="000000"/>
                <w:lang w:eastAsia="es-CR"/>
              </w:rPr>
              <w:t xml:space="preserve">e.2. </w:t>
            </w:r>
            <w:r w:rsidR="00A242F7" w:rsidRPr="00554F2D">
              <w:rPr>
                <w:rFonts w:ascii="Calibri" w:eastAsia="Times New Roman" w:hAnsi="Calibri" w:cs="Times New Roman"/>
                <w:i/>
                <w:color w:val="000000"/>
                <w:lang w:eastAsia="es-CR"/>
              </w:rPr>
              <w:t>Comisión para evaluación de opciones para el nuevo edificio de Aresep</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A04C7A" w:rsidRDefault="009F478C" w:rsidP="009F478C">
            <w:pPr>
              <w:spacing w:after="0" w:line="240" w:lineRule="auto"/>
              <w:jc w:val="both"/>
              <w:rPr>
                <w:rFonts w:ascii="Calibri" w:eastAsia="Times New Roman" w:hAnsi="Calibri" w:cs="Times New Roman"/>
                <w:color w:val="000000"/>
                <w:sz w:val="20"/>
                <w:lang w:eastAsia="es-CR"/>
              </w:rPr>
            </w:pPr>
          </w:p>
          <w:p w:rsidR="00554F2D" w:rsidRDefault="00457188"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Se participó en esta comisión en 2012 y 2013 colaborando en la revisión de las</w:t>
            </w:r>
            <w:r w:rsidR="00481CDB">
              <w:rPr>
                <w:rFonts w:ascii="Calibri" w:eastAsia="Times New Roman" w:hAnsi="Calibri" w:cs="Times New Roman"/>
                <w:color w:val="000000"/>
                <w:lang w:eastAsia="es-CR"/>
              </w:rPr>
              <w:t xml:space="preserve"> diversas propuestas</w:t>
            </w:r>
            <w:r>
              <w:rPr>
                <w:rFonts w:ascii="Calibri" w:eastAsia="Times New Roman" w:hAnsi="Calibri" w:cs="Times New Roman"/>
                <w:color w:val="000000"/>
                <w:lang w:eastAsia="es-CR"/>
              </w:rPr>
              <w:t xml:space="preserve"> presentadas por la Universidad de Costa Ric</w:t>
            </w:r>
            <w:r w:rsidR="00A04C7A">
              <w:rPr>
                <w:rFonts w:ascii="Calibri" w:eastAsia="Times New Roman" w:hAnsi="Calibri" w:cs="Times New Roman"/>
                <w:color w:val="000000"/>
                <w:lang w:eastAsia="es-CR"/>
              </w:rPr>
              <w:t>a.</w:t>
            </w:r>
          </w:p>
          <w:p w:rsidR="00554F2D" w:rsidRPr="00A04C7A" w:rsidRDefault="00554F2D" w:rsidP="009F478C">
            <w:pPr>
              <w:spacing w:after="0" w:line="240" w:lineRule="auto"/>
              <w:jc w:val="both"/>
              <w:rPr>
                <w:rFonts w:ascii="Calibri" w:eastAsia="Times New Roman" w:hAnsi="Calibri" w:cs="Times New Roman"/>
                <w:color w:val="000000"/>
                <w:sz w:val="20"/>
                <w:lang w:eastAsia="es-CR"/>
              </w:rPr>
            </w:pPr>
          </w:p>
          <w:p w:rsidR="00A242F7" w:rsidRPr="00554F2D" w:rsidRDefault="00457188" w:rsidP="009F478C">
            <w:pPr>
              <w:spacing w:after="0" w:line="240" w:lineRule="auto"/>
              <w:jc w:val="both"/>
              <w:rPr>
                <w:rFonts w:ascii="Calibri" w:eastAsia="Times New Roman" w:hAnsi="Calibri" w:cs="Times New Roman"/>
                <w:i/>
                <w:color w:val="000000"/>
                <w:lang w:eastAsia="es-CR"/>
              </w:rPr>
            </w:pPr>
            <w:r>
              <w:rPr>
                <w:rFonts w:ascii="Calibri" w:eastAsia="Times New Roman" w:hAnsi="Calibri" w:cs="Times New Roman"/>
                <w:i/>
                <w:color w:val="000000"/>
                <w:lang w:eastAsia="es-CR"/>
              </w:rPr>
              <w:t xml:space="preserve">e.3. </w:t>
            </w:r>
            <w:r w:rsidR="00A242F7" w:rsidRPr="00554F2D">
              <w:rPr>
                <w:rFonts w:ascii="Calibri" w:eastAsia="Times New Roman" w:hAnsi="Calibri" w:cs="Times New Roman"/>
                <w:i/>
                <w:color w:val="000000"/>
                <w:lang w:eastAsia="es-CR"/>
              </w:rPr>
              <w:t>Comisión para evaluar el proyecto de Ley para modificar la ley 7593 de Aresep</w:t>
            </w:r>
          </w:p>
          <w:p w:rsidR="00554F2D" w:rsidRPr="00A04C7A" w:rsidRDefault="00554F2D" w:rsidP="009F478C">
            <w:pPr>
              <w:spacing w:after="0" w:line="240" w:lineRule="auto"/>
              <w:jc w:val="both"/>
              <w:rPr>
                <w:rFonts w:ascii="Calibri" w:eastAsia="Times New Roman" w:hAnsi="Calibri" w:cs="Times New Roman"/>
                <w:color w:val="000000"/>
                <w:sz w:val="20"/>
                <w:lang w:eastAsia="es-CR"/>
              </w:rPr>
            </w:pPr>
          </w:p>
          <w:p w:rsidR="00554F2D" w:rsidRDefault="00457188"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Se participó en las reuniones de análisis del proyecto</w:t>
            </w:r>
            <w:r w:rsidR="00B01650">
              <w:rPr>
                <w:rFonts w:ascii="Calibri" w:eastAsia="Times New Roman" w:hAnsi="Calibri" w:cs="Times New Roman"/>
                <w:color w:val="000000"/>
                <w:lang w:eastAsia="es-CR"/>
              </w:rPr>
              <w:t xml:space="preserve"> (expediente 19.624)</w:t>
            </w:r>
            <w:r>
              <w:rPr>
                <w:rFonts w:ascii="Calibri" w:eastAsia="Times New Roman" w:hAnsi="Calibri" w:cs="Times New Roman"/>
                <w:color w:val="000000"/>
                <w:lang w:eastAsia="es-CR"/>
              </w:rPr>
              <w:t>, así como enviando las observaciones y sugerencias a la Administración, a fin de brindar un criterio inst</w:t>
            </w:r>
            <w:r w:rsidR="00ED246E">
              <w:rPr>
                <w:rFonts w:ascii="Calibri" w:eastAsia="Times New Roman" w:hAnsi="Calibri" w:cs="Times New Roman"/>
                <w:color w:val="000000"/>
                <w:lang w:eastAsia="es-CR"/>
              </w:rPr>
              <w:t>itucional que respondiera el requerimiento formulado por</w:t>
            </w:r>
            <w:r w:rsidR="00A04C7A">
              <w:rPr>
                <w:rFonts w:ascii="Calibri" w:eastAsia="Times New Roman" w:hAnsi="Calibri" w:cs="Times New Roman"/>
                <w:color w:val="000000"/>
                <w:lang w:eastAsia="es-CR"/>
              </w:rPr>
              <w:t xml:space="preserve"> la A</w:t>
            </w:r>
            <w:r>
              <w:rPr>
                <w:rFonts w:ascii="Calibri" w:eastAsia="Times New Roman" w:hAnsi="Calibri" w:cs="Times New Roman"/>
                <w:color w:val="000000"/>
                <w:lang w:eastAsia="es-CR"/>
              </w:rPr>
              <w:t>samblea Legislativa.</w:t>
            </w:r>
          </w:p>
          <w:p w:rsidR="00554F2D" w:rsidRPr="00A04C7A" w:rsidRDefault="00554F2D" w:rsidP="009F478C">
            <w:pPr>
              <w:spacing w:after="0" w:line="240" w:lineRule="auto"/>
              <w:jc w:val="both"/>
              <w:rPr>
                <w:rFonts w:ascii="Calibri" w:eastAsia="Times New Roman" w:hAnsi="Calibri" w:cs="Times New Roman"/>
                <w:color w:val="000000"/>
                <w:sz w:val="20"/>
                <w:lang w:eastAsia="es-CR"/>
              </w:rPr>
            </w:pPr>
          </w:p>
        </w:tc>
      </w:tr>
      <w:tr w:rsidR="00A242F7" w:rsidRPr="00A242F7" w:rsidTr="00B01650">
        <w:trPr>
          <w:trHeight w:val="70"/>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30" w:name="_Toc451425953"/>
            <w:bookmarkStart w:id="31" w:name="_Toc451426716"/>
            <w:r w:rsidRPr="00A242F7">
              <w:rPr>
                <w:rFonts w:ascii="Calibri" w:eastAsia="Times New Roman" w:hAnsi="Calibri" w:cs="Times New Roman"/>
                <w:b/>
                <w:bCs/>
                <w:color w:val="000000"/>
                <w:lang w:eastAsia="es-CR"/>
              </w:rPr>
              <w:t>Trabajos especiales</w:t>
            </w:r>
            <w:bookmarkEnd w:id="30"/>
            <w:bookmarkEnd w:id="31"/>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Pr="00A04C7A" w:rsidRDefault="009F478C" w:rsidP="009F478C">
            <w:pPr>
              <w:spacing w:after="0" w:line="240" w:lineRule="auto"/>
              <w:jc w:val="both"/>
              <w:rPr>
                <w:rFonts w:ascii="Calibri" w:eastAsia="Times New Roman" w:hAnsi="Calibri" w:cs="Times New Roman"/>
                <w:color w:val="000000"/>
                <w:sz w:val="10"/>
                <w:lang w:eastAsia="es-CR"/>
              </w:rPr>
            </w:pPr>
          </w:p>
          <w:p w:rsidR="00A242F7" w:rsidRPr="00CB007D" w:rsidRDefault="00B90DC3" w:rsidP="009F478C">
            <w:pPr>
              <w:spacing w:after="0" w:line="240" w:lineRule="auto"/>
              <w:jc w:val="both"/>
              <w:rPr>
                <w:rFonts w:ascii="Calibri" w:eastAsia="Times New Roman" w:hAnsi="Calibri" w:cs="Times New Roman"/>
                <w:i/>
                <w:color w:val="000000"/>
                <w:lang w:eastAsia="es-CR"/>
              </w:rPr>
            </w:pPr>
            <w:r w:rsidRPr="00CB007D">
              <w:rPr>
                <w:rFonts w:ascii="Calibri" w:eastAsia="Times New Roman" w:hAnsi="Calibri" w:cs="Times New Roman"/>
                <w:i/>
                <w:color w:val="000000"/>
                <w:lang w:eastAsia="es-CR"/>
              </w:rPr>
              <w:t xml:space="preserve">f.1. </w:t>
            </w:r>
            <w:r w:rsidR="00A242F7" w:rsidRPr="00CB007D">
              <w:rPr>
                <w:rFonts w:ascii="Calibri" w:eastAsia="Times New Roman" w:hAnsi="Calibri" w:cs="Times New Roman"/>
                <w:i/>
                <w:color w:val="000000"/>
                <w:lang w:eastAsia="es-CR"/>
              </w:rPr>
              <w:t>Tratamiento del riesgo país en mercados de servicios atendidos por operadores públicos en condición de monopolio</w:t>
            </w:r>
            <w:r w:rsidR="00C11A97" w:rsidRPr="00CB007D">
              <w:rPr>
                <w:rFonts w:ascii="Calibri" w:eastAsia="Times New Roman" w:hAnsi="Calibri" w:cs="Times New Roman"/>
                <w:i/>
                <w:color w:val="000000"/>
                <w:lang w:eastAsia="es-CR"/>
              </w:rPr>
              <w:t>.</w:t>
            </w:r>
          </w:p>
          <w:p w:rsidR="00C11A97" w:rsidRPr="00A04C7A" w:rsidRDefault="00C11A97" w:rsidP="009F478C">
            <w:pPr>
              <w:spacing w:after="0" w:line="240" w:lineRule="auto"/>
              <w:jc w:val="both"/>
              <w:rPr>
                <w:rFonts w:ascii="Calibri" w:eastAsia="Times New Roman" w:hAnsi="Calibri" w:cs="Times New Roman"/>
                <w:color w:val="000000"/>
                <w:sz w:val="20"/>
                <w:lang w:eastAsia="es-CR"/>
              </w:rPr>
            </w:pPr>
          </w:p>
          <w:p w:rsidR="00C11A97" w:rsidRPr="00A242F7" w:rsidRDefault="004D4C34" w:rsidP="006F5999">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Es un análisis de la pertinencia de incluir como parte de cálculo del costo de capital del operador, un componente por riesgo país. En este caso, el criterio se refiere a operadores públicos en condición de monopolio. Este es un tema polémico en la literatura y la práctica regulatoria. Es también un asunto importante, ya que puede tener repercusiones tarifarias significativas. (Ver Anexo 1</w:t>
            </w:r>
            <w:r w:rsidR="006F5999">
              <w:rPr>
                <w:rFonts w:ascii="Calibri" w:eastAsia="Times New Roman" w:hAnsi="Calibri" w:cs="Times New Roman"/>
                <w:color w:val="000000"/>
                <w:lang w:eastAsia="es-CR"/>
              </w:rPr>
              <w:t>6</w:t>
            </w:r>
            <w:r>
              <w:rPr>
                <w:rFonts w:ascii="Calibri" w:eastAsia="Times New Roman" w:hAnsi="Calibri" w:cs="Times New Roman"/>
                <w:color w:val="000000"/>
                <w:lang w:eastAsia="es-CR"/>
              </w:rPr>
              <w:t>).</w:t>
            </w:r>
          </w:p>
        </w:tc>
      </w:tr>
      <w:tr w:rsidR="00A242F7" w:rsidRPr="004D4C34" w:rsidTr="00A242F7">
        <w:trPr>
          <w:trHeight w:val="288"/>
        </w:trPr>
        <w:tc>
          <w:tcPr>
            <w:tcW w:w="8480" w:type="dxa"/>
            <w:tcBorders>
              <w:top w:val="nil"/>
              <w:left w:val="nil"/>
              <w:bottom w:val="nil"/>
              <w:right w:val="nil"/>
            </w:tcBorders>
            <w:shd w:val="clear" w:color="auto" w:fill="auto"/>
            <w:vAlign w:val="bottom"/>
            <w:hideMark/>
          </w:tcPr>
          <w:p w:rsidR="009F478C" w:rsidRPr="00A04C7A" w:rsidRDefault="009F478C" w:rsidP="00A04C7A">
            <w:pPr>
              <w:spacing w:after="0" w:line="240" w:lineRule="auto"/>
              <w:ind w:firstLineChars="100" w:firstLine="200"/>
              <w:jc w:val="both"/>
              <w:rPr>
                <w:rFonts w:ascii="Calibri" w:eastAsia="Times New Roman" w:hAnsi="Calibri" w:cs="Times New Roman"/>
                <w:color w:val="000000"/>
                <w:sz w:val="20"/>
                <w:lang w:eastAsia="es-CR"/>
              </w:rPr>
            </w:pPr>
          </w:p>
          <w:p w:rsidR="00A242F7" w:rsidRPr="004D4C34" w:rsidRDefault="00B90DC3" w:rsidP="009F478C">
            <w:pPr>
              <w:spacing w:after="0" w:line="240" w:lineRule="auto"/>
              <w:jc w:val="both"/>
              <w:rPr>
                <w:rFonts w:ascii="Calibri" w:eastAsia="Times New Roman" w:hAnsi="Calibri" w:cs="Times New Roman"/>
                <w:color w:val="000000"/>
                <w:lang w:eastAsia="es-CR"/>
              </w:rPr>
            </w:pPr>
            <w:r w:rsidRPr="00CB007D">
              <w:rPr>
                <w:rFonts w:ascii="Calibri" w:eastAsia="Times New Roman" w:hAnsi="Calibri" w:cs="Times New Roman"/>
                <w:i/>
                <w:color w:val="000000"/>
                <w:lang w:eastAsia="es-CR"/>
              </w:rPr>
              <w:t xml:space="preserve">f.2. </w:t>
            </w:r>
            <w:r w:rsidR="00A242F7" w:rsidRPr="00CB007D">
              <w:rPr>
                <w:rFonts w:ascii="Calibri" w:eastAsia="Times New Roman" w:hAnsi="Calibri" w:cs="Times New Roman"/>
                <w:i/>
                <w:color w:val="000000"/>
                <w:lang w:eastAsia="es-CR"/>
              </w:rPr>
              <w:t>Propuesta de estudio para CEPAL sobre eficiencia energética en sistemas de acueducto</w:t>
            </w:r>
            <w:r w:rsidR="00C11A97" w:rsidRPr="004D4C34">
              <w:rPr>
                <w:rFonts w:ascii="Calibri" w:eastAsia="Times New Roman" w:hAnsi="Calibri" w:cs="Times New Roman"/>
                <w:color w:val="000000"/>
                <w:lang w:eastAsia="es-CR"/>
              </w:rPr>
              <w:t>.</w:t>
            </w:r>
          </w:p>
          <w:p w:rsidR="00C11A97" w:rsidRPr="00A04C7A" w:rsidRDefault="00C11A97" w:rsidP="009F478C">
            <w:pPr>
              <w:spacing w:after="0" w:line="240" w:lineRule="auto"/>
              <w:jc w:val="both"/>
              <w:rPr>
                <w:rFonts w:ascii="Calibri" w:eastAsia="Times New Roman" w:hAnsi="Calibri" w:cs="Times New Roman"/>
                <w:color w:val="000000"/>
                <w:sz w:val="20"/>
                <w:lang w:eastAsia="es-CR"/>
              </w:rPr>
            </w:pPr>
          </w:p>
          <w:p w:rsidR="00C11A97" w:rsidRPr="004D4C34" w:rsidRDefault="004D4C34" w:rsidP="006F5999">
            <w:pPr>
              <w:spacing w:after="0" w:line="240" w:lineRule="auto"/>
              <w:jc w:val="both"/>
              <w:rPr>
                <w:rFonts w:ascii="Calibri" w:eastAsia="Times New Roman" w:hAnsi="Calibri" w:cs="Times New Roman"/>
                <w:color w:val="000000"/>
                <w:lang w:eastAsia="es-CR"/>
              </w:rPr>
            </w:pPr>
            <w:r w:rsidRPr="004D4C34">
              <w:rPr>
                <w:rFonts w:ascii="Calibri" w:eastAsia="Times New Roman" w:hAnsi="Calibri" w:cs="Times New Roman"/>
                <w:color w:val="000000"/>
                <w:lang w:eastAsia="es-CR"/>
              </w:rPr>
              <w:t>El costo de la energía en la operación de los sistemas de acueductos es relevante especialmente cuando las condiciones topográficas requieren de sistemas de bombeo con costos significativos. El Intendente de la IA y el suscrito trabajaron en la elaboración de la propuesta presentada a la CEPAL. (Ver Anexo 1</w:t>
            </w:r>
            <w:r w:rsidR="006F5999">
              <w:rPr>
                <w:rFonts w:ascii="Calibri" w:eastAsia="Times New Roman" w:hAnsi="Calibri" w:cs="Times New Roman"/>
                <w:color w:val="000000"/>
                <w:lang w:eastAsia="es-CR"/>
              </w:rPr>
              <w:t>7</w:t>
            </w:r>
            <w:r w:rsidRPr="004D4C34">
              <w:rPr>
                <w:rFonts w:ascii="Calibri" w:eastAsia="Times New Roman" w:hAnsi="Calibri" w:cs="Times New Roman"/>
                <w:color w:val="000000"/>
                <w:lang w:eastAsia="es-CR"/>
              </w:rPr>
              <w:t>).</w:t>
            </w:r>
          </w:p>
        </w:tc>
      </w:tr>
      <w:tr w:rsidR="00A242F7" w:rsidRPr="004D4C34" w:rsidTr="00CB007D">
        <w:trPr>
          <w:trHeight w:val="57"/>
        </w:trPr>
        <w:tc>
          <w:tcPr>
            <w:tcW w:w="8480" w:type="dxa"/>
            <w:tcBorders>
              <w:top w:val="nil"/>
              <w:left w:val="nil"/>
              <w:bottom w:val="nil"/>
              <w:right w:val="nil"/>
            </w:tcBorders>
            <w:shd w:val="clear" w:color="auto" w:fill="auto"/>
            <w:vAlign w:val="bottom"/>
          </w:tcPr>
          <w:p w:rsidR="00B90DC3" w:rsidRPr="00A04C7A" w:rsidRDefault="00B90DC3" w:rsidP="009F478C">
            <w:pPr>
              <w:spacing w:after="0" w:line="240" w:lineRule="auto"/>
              <w:jc w:val="both"/>
              <w:rPr>
                <w:rFonts w:ascii="Calibri" w:eastAsia="Times New Roman" w:hAnsi="Calibri" w:cs="Times New Roman"/>
                <w:color w:val="000000"/>
                <w:sz w:val="20"/>
                <w:lang w:eastAsia="es-CR"/>
              </w:rPr>
            </w:pPr>
          </w:p>
        </w:tc>
      </w:tr>
      <w:tr w:rsidR="00A242F7" w:rsidRPr="00CB007D" w:rsidTr="00A242F7">
        <w:trPr>
          <w:trHeight w:val="576"/>
        </w:trPr>
        <w:tc>
          <w:tcPr>
            <w:tcW w:w="8480" w:type="dxa"/>
            <w:tcBorders>
              <w:top w:val="nil"/>
              <w:left w:val="nil"/>
              <w:bottom w:val="nil"/>
              <w:right w:val="nil"/>
            </w:tcBorders>
            <w:shd w:val="clear" w:color="auto" w:fill="auto"/>
            <w:vAlign w:val="bottom"/>
            <w:hideMark/>
          </w:tcPr>
          <w:p w:rsidR="00A242F7" w:rsidRPr="00CB007D" w:rsidRDefault="00B90DC3" w:rsidP="00CB007D">
            <w:pPr>
              <w:widowControl w:val="0"/>
              <w:spacing w:after="0" w:line="240" w:lineRule="auto"/>
              <w:jc w:val="both"/>
              <w:rPr>
                <w:rFonts w:ascii="Calibri" w:eastAsia="Times New Roman" w:hAnsi="Calibri" w:cs="Times New Roman"/>
                <w:i/>
                <w:color w:val="000000"/>
                <w:lang w:eastAsia="es-CR"/>
              </w:rPr>
            </w:pPr>
            <w:r w:rsidRPr="00CB007D">
              <w:rPr>
                <w:rFonts w:ascii="Calibri" w:eastAsia="Times New Roman" w:hAnsi="Calibri" w:cs="Times New Roman"/>
                <w:i/>
                <w:color w:val="000000"/>
                <w:lang w:eastAsia="es-CR"/>
              </w:rPr>
              <w:t>f.</w:t>
            </w:r>
            <w:r w:rsidR="00CB007D" w:rsidRPr="00CB007D">
              <w:rPr>
                <w:rFonts w:ascii="Calibri" w:eastAsia="Times New Roman" w:hAnsi="Calibri" w:cs="Times New Roman"/>
                <w:i/>
                <w:color w:val="000000"/>
                <w:lang w:eastAsia="es-CR"/>
              </w:rPr>
              <w:t>3</w:t>
            </w:r>
            <w:r w:rsidRPr="00CB007D">
              <w:rPr>
                <w:rFonts w:ascii="Calibri" w:eastAsia="Times New Roman" w:hAnsi="Calibri" w:cs="Times New Roman"/>
                <w:i/>
                <w:color w:val="000000"/>
                <w:lang w:eastAsia="es-CR"/>
              </w:rPr>
              <w:t xml:space="preserve">. </w:t>
            </w:r>
            <w:r w:rsidR="00A242F7" w:rsidRPr="00CB007D">
              <w:rPr>
                <w:rFonts w:ascii="Calibri" w:eastAsia="Times New Roman" w:hAnsi="Calibri" w:cs="Times New Roman"/>
                <w:i/>
                <w:color w:val="000000"/>
                <w:lang w:eastAsia="es-CR"/>
              </w:rPr>
              <w:t>Lineamientos para el desarrollo de infraestructura verde en el sector de agua de América Latina (Aderasa)</w:t>
            </w:r>
            <w:r w:rsidR="00C11A97" w:rsidRPr="00CB007D">
              <w:rPr>
                <w:rFonts w:ascii="Calibri" w:eastAsia="Times New Roman" w:hAnsi="Calibri" w:cs="Times New Roman"/>
                <w:i/>
                <w:color w:val="000000"/>
                <w:lang w:eastAsia="es-CR"/>
              </w:rPr>
              <w:t>.</w:t>
            </w:r>
          </w:p>
          <w:p w:rsidR="00C11A97" w:rsidRPr="00A04C7A" w:rsidRDefault="00C11A97" w:rsidP="00A04C7A">
            <w:pPr>
              <w:widowControl w:val="0"/>
              <w:spacing w:after="0" w:line="240" w:lineRule="auto"/>
              <w:ind w:firstLineChars="100" w:firstLine="200"/>
              <w:jc w:val="both"/>
              <w:rPr>
                <w:rFonts w:ascii="Calibri" w:eastAsia="Times New Roman" w:hAnsi="Calibri" w:cs="Times New Roman"/>
                <w:color w:val="000000"/>
                <w:sz w:val="20"/>
                <w:lang w:eastAsia="es-CR"/>
              </w:rPr>
            </w:pPr>
          </w:p>
          <w:p w:rsidR="00C11A97" w:rsidRDefault="00CB007D" w:rsidP="00CB007D">
            <w:pPr>
              <w:widowControl w:val="0"/>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La propuesta de lineamientos</w:t>
            </w:r>
            <w:r>
              <w:t xml:space="preserve"> </w:t>
            </w:r>
            <w:r w:rsidRPr="00CB007D">
              <w:rPr>
                <w:rFonts w:ascii="Calibri" w:eastAsia="Times New Roman" w:hAnsi="Calibri" w:cs="Times New Roman"/>
                <w:color w:val="000000"/>
                <w:lang w:eastAsia="es-CR"/>
              </w:rPr>
              <w:t>para el desarrollo de infraestructura verde en el sector de agua de América Latina</w:t>
            </w:r>
            <w:r>
              <w:rPr>
                <w:rFonts w:ascii="Calibri" w:eastAsia="Times New Roman" w:hAnsi="Calibri" w:cs="Times New Roman"/>
                <w:color w:val="000000"/>
                <w:lang w:eastAsia="es-CR"/>
              </w:rPr>
              <w:t xml:space="preserve"> fue desarrollada en el marco de la relación con la Asociación de Entes Reguladores de Agua Potable y Saneamiento de las Américas -Aderasa-. Fue un trabajo de equipo con el Intendente y la coordinadora del área ambiental de la IA. Se trata de una propuesta innovadora para conciliar los enfoques de infraestructura clásicos (inversión gris) con los nuevos criterios de sostenibilidad ambiental. (Ver Anexo </w:t>
            </w:r>
            <w:r w:rsidR="001C2AA9">
              <w:rPr>
                <w:rFonts w:ascii="Calibri" w:eastAsia="Times New Roman" w:hAnsi="Calibri" w:cs="Times New Roman"/>
                <w:color w:val="000000"/>
                <w:lang w:eastAsia="es-CR"/>
              </w:rPr>
              <w:t>1</w:t>
            </w:r>
            <w:r w:rsidR="006F5999">
              <w:rPr>
                <w:rFonts w:ascii="Calibri" w:eastAsia="Times New Roman" w:hAnsi="Calibri" w:cs="Times New Roman"/>
                <w:color w:val="000000"/>
                <w:lang w:eastAsia="es-CR"/>
              </w:rPr>
              <w:t>8)</w:t>
            </w:r>
            <w:r>
              <w:rPr>
                <w:rFonts w:ascii="Calibri" w:eastAsia="Times New Roman" w:hAnsi="Calibri" w:cs="Times New Roman"/>
                <w:color w:val="000000"/>
                <w:lang w:eastAsia="es-CR"/>
              </w:rPr>
              <w:t>.</w:t>
            </w:r>
          </w:p>
          <w:p w:rsidR="00B01650" w:rsidRPr="00A04C7A" w:rsidRDefault="00B01650" w:rsidP="00CB007D">
            <w:pPr>
              <w:widowControl w:val="0"/>
              <w:spacing w:after="0" w:line="240" w:lineRule="auto"/>
              <w:jc w:val="both"/>
              <w:rPr>
                <w:rFonts w:ascii="Calibri" w:eastAsia="Times New Roman" w:hAnsi="Calibri" w:cs="Times New Roman"/>
                <w:color w:val="000000"/>
                <w:sz w:val="20"/>
                <w:lang w:eastAsia="es-CR"/>
              </w:rPr>
            </w:pPr>
          </w:p>
          <w:p w:rsidR="00B01650" w:rsidRPr="00B01650" w:rsidRDefault="00B01650" w:rsidP="00CB007D">
            <w:pPr>
              <w:widowControl w:val="0"/>
              <w:spacing w:after="0" w:line="240" w:lineRule="auto"/>
              <w:jc w:val="both"/>
              <w:rPr>
                <w:rFonts w:ascii="Calibri" w:eastAsia="Times New Roman" w:hAnsi="Calibri" w:cs="Times New Roman"/>
                <w:i/>
                <w:color w:val="000000"/>
                <w:lang w:eastAsia="es-CR"/>
              </w:rPr>
            </w:pPr>
            <w:r w:rsidRPr="00B01650">
              <w:rPr>
                <w:rFonts w:ascii="Calibri" w:eastAsia="Times New Roman" w:hAnsi="Calibri" w:cs="Times New Roman"/>
                <w:i/>
                <w:color w:val="000000"/>
                <w:lang w:eastAsia="es-CR"/>
              </w:rPr>
              <w:t>f.4. El rezago de inversión en instituciones públicas reguladas por Aresep.</w:t>
            </w:r>
          </w:p>
          <w:p w:rsidR="00B01650" w:rsidRPr="00A04C7A" w:rsidRDefault="00B01650" w:rsidP="00CB007D">
            <w:pPr>
              <w:widowControl w:val="0"/>
              <w:spacing w:after="0" w:line="240" w:lineRule="auto"/>
              <w:jc w:val="both"/>
              <w:rPr>
                <w:rFonts w:ascii="Calibri" w:eastAsia="Times New Roman" w:hAnsi="Calibri" w:cs="Times New Roman"/>
                <w:color w:val="000000"/>
                <w:sz w:val="20"/>
                <w:lang w:eastAsia="es-CR"/>
              </w:rPr>
            </w:pPr>
          </w:p>
          <w:p w:rsidR="00B01650" w:rsidRDefault="00B01650" w:rsidP="00CB007D">
            <w:pPr>
              <w:widowControl w:val="0"/>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En este documento se analiza el tratamiento que reciben las inversiones bajo la modalidad de</w:t>
            </w:r>
            <w:r w:rsidR="00A97EFA">
              <w:rPr>
                <w:rFonts w:ascii="Calibri" w:eastAsia="Times New Roman" w:hAnsi="Calibri" w:cs="Times New Roman"/>
                <w:color w:val="000000"/>
                <w:lang w:eastAsia="es-CR"/>
              </w:rPr>
              <w:t xml:space="preserve"> tasa de retorno y los inconvenientes derivados de la misma. Se consideran las distorsiones que generan asimetría de información, las principales causas de retraso en los programas de inversión de operadores de servicios públicos regulados y se plantea una propuesta alternativa basada en necesidades de efectivo</w:t>
            </w:r>
            <w:r w:rsidR="00336000">
              <w:rPr>
                <w:rFonts w:ascii="Calibri" w:eastAsia="Times New Roman" w:hAnsi="Calibri" w:cs="Times New Roman"/>
                <w:color w:val="000000"/>
                <w:lang w:eastAsia="es-CR"/>
              </w:rPr>
              <w:t>,</w:t>
            </w:r>
            <w:r w:rsidR="00A97EFA">
              <w:rPr>
                <w:rFonts w:ascii="Calibri" w:eastAsia="Times New Roman" w:hAnsi="Calibri" w:cs="Times New Roman"/>
                <w:color w:val="000000"/>
                <w:lang w:eastAsia="es-CR"/>
              </w:rPr>
              <w:t xml:space="preserve"> aunada a un conjunto de reglas regulatorias que permitan incentivar un mayor nivel de inversión. Este documento es uno de los antecedentes del nuevo modelo tarifario. (Ver Anexo 1</w:t>
            </w:r>
            <w:r w:rsidR="006F5999">
              <w:rPr>
                <w:rFonts w:ascii="Calibri" w:eastAsia="Times New Roman" w:hAnsi="Calibri" w:cs="Times New Roman"/>
                <w:color w:val="000000"/>
                <w:lang w:eastAsia="es-CR"/>
              </w:rPr>
              <w:t>9</w:t>
            </w:r>
            <w:r w:rsidR="00A97EFA">
              <w:rPr>
                <w:rFonts w:ascii="Calibri" w:eastAsia="Times New Roman" w:hAnsi="Calibri" w:cs="Times New Roman"/>
                <w:color w:val="000000"/>
                <w:lang w:eastAsia="es-CR"/>
              </w:rPr>
              <w:t>).</w:t>
            </w:r>
          </w:p>
          <w:p w:rsidR="00B90DC3" w:rsidRPr="00A242F7" w:rsidRDefault="00B90DC3" w:rsidP="00CB007D">
            <w:pPr>
              <w:widowControl w:val="0"/>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CB007D">
        <w:trPr>
          <w:trHeight w:val="57"/>
        </w:trPr>
        <w:tc>
          <w:tcPr>
            <w:tcW w:w="8480" w:type="dxa"/>
            <w:tcBorders>
              <w:top w:val="nil"/>
              <w:left w:val="nil"/>
              <w:bottom w:val="nil"/>
              <w:right w:val="nil"/>
            </w:tcBorders>
            <w:shd w:val="clear" w:color="auto" w:fill="auto"/>
            <w:noWrap/>
            <w:vAlign w:val="bottom"/>
            <w:hideMark/>
          </w:tcPr>
          <w:p w:rsidR="00A242F7" w:rsidRPr="00A242F7" w:rsidRDefault="00A242F7" w:rsidP="00CB007D">
            <w:pPr>
              <w:widowControl w:val="0"/>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32" w:name="_Toc451425954"/>
            <w:bookmarkStart w:id="33" w:name="_Toc451426717"/>
            <w:r w:rsidRPr="00A242F7">
              <w:rPr>
                <w:rFonts w:ascii="Calibri" w:eastAsia="Times New Roman" w:hAnsi="Calibri" w:cs="Times New Roman"/>
                <w:b/>
                <w:bCs/>
                <w:color w:val="000000"/>
                <w:lang w:eastAsia="es-CR"/>
              </w:rPr>
              <w:t>Informes para el nuevo Regulador General</w:t>
            </w:r>
            <w:bookmarkEnd w:id="32"/>
            <w:bookmarkEnd w:id="33"/>
          </w:p>
        </w:tc>
      </w:tr>
      <w:tr w:rsidR="00A242F7" w:rsidRPr="00A242F7" w:rsidTr="001B5748">
        <w:trPr>
          <w:trHeight w:val="2396"/>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color w:val="000000"/>
                <w:sz w:val="8"/>
                <w:lang w:eastAsia="es-CR"/>
              </w:rPr>
            </w:pPr>
          </w:p>
          <w:p w:rsidR="00A242F7" w:rsidRPr="0033741B" w:rsidRDefault="0033741B" w:rsidP="009F478C">
            <w:pPr>
              <w:spacing w:after="0" w:line="240" w:lineRule="auto"/>
              <w:jc w:val="both"/>
              <w:rPr>
                <w:rFonts w:ascii="Calibri" w:eastAsia="Times New Roman" w:hAnsi="Calibri" w:cs="Times New Roman"/>
                <w:i/>
                <w:color w:val="000000"/>
                <w:lang w:eastAsia="es-CR"/>
              </w:rPr>
            </w:pPr>
            <w:r w:rsidRPr="0033741B">
              <w:rPr>
                <w:rFonts w:ascii="Calibri" w:eastAsia="Times New Roman" w:hAnsi="Calibri" w:cs="Times New Roman"/>
                <w:i/>
                <w:color w:val="000000"/>
                <w:lang w:eastAsia="es-CR"/>
              </w:rPr>
              <w:t xml:space="preserve">g.1. </w:t>
            </w:r>
            <w:r w:rsidR="00A242F7" w:rsidRPr="0033741B">
              <w:rPr>
                <w:rFonts w:ascii="Calibri" w:eastAsia="Times New Roman" w:hAnsi="Calibri" w:cs="Times New Roman"/>
                <w:i/>
                <w:color w:val="000000"/>
                <w:lang w:eastAsia="es-CR"/>
              </w:rPr>
              <w:t xml:space="preserve">Informe de la IA para </w:t>
            </w:r>
            <w:r w:rsidR="00336000">
              <w:rPr>
                <w:rFonts w:ascii="Calibri" w:eastAsia="Times New Roman" w:hAnsi="Calibri" w:cs="Times New Roman"/>
                <w:i/>
                <w:color w:val="000000"/>
                <w:lang w:eastAsia="es-CR"/>
              </w:rPr>
              <w:t xml:space="preserve">el </w:t>
            </w:r>
            <w:r w:rsidR="00A242F7" w:rsidRPr="0033741B">
              <w:rPr>
                <w:rFonts w:ascii="Calibri" w:eastAsia="Times New Roman" w:hAnsi="Calibri" w:cs="Times New Roman"/>
                <w:i/>
                <w:color w:val="000000"/>
                <w:lang w:eastAsia="es-CR"/>
              </w:rPr>
              <w:t>nuevo Regulador General: logros 2015 y planes 2016-2017</w:t>
            </w:r>
            <w:r w:rsidRPr="0033741B">
              <w:rPr>
                <w:rFonts w:ascii="Calibri" w:eastAsia="Times New Roman" w:hAnsi="Calibri" w:cs="Times New Roman"/>
                <w:i/>
                <w:color w:val="000000"/>
                <w:lang w:eastAsia="es-CR"/>
              </w:rPr>
              <w:t>.</w:t>
            </w:r>
          </w:p>
          <w:p w:rsidR="0033741B" w:rsidRDefault="0033741B" w:rsidP="009F478C">
            <w:pPr>
              <w:spacing w:after="0" w:line="240" w:lineRule="auto"/>
              <w:jc w:val="both"/>
              <w:rPr>
                <w:rFonts w:ascii="Calibri" w:eastAsia="Times New Roman" w:hAnsi="Calibri" w:cs="Times New Roman"/>
                <w:color w:val="000000"/>
                <w:lang w:eastAsia="es-CR"/>
              </w:rPr>
            </w:pPr>
          </w:p>
          <w:p w:rsidR="0033741B" w:rsidRDefault="0033741B" w:rsidP="0033741B">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Con el fin de facilitar el proceso de transición de las nuevas autoridades –con ocasión del nombramiento de un nuevo Regulador General- el Intendente de la IA y el suscrito trabajaron en la preparación de una presentación detallada de la situación de los servicios de agua regulados</w:t>
            </w:r>
            <w:r w:rsidR="001B5748">
              <w:rPr>
                <w:rFonts w:ascii="Calibri" w:eastAsia="Times New Roman" w:hAnsi="Calibri" w:cs="Times New Roman"/>
                <w:color w:val="000000"/>
                <w:lang w:eastAsia="es-CR"/>
              </w:rPr>
              <w:t xml:space="preserve">, que facilite obtener una visión de conjunto de los aspectos más relevantes para las decisiones futuras. Se incluye una síntesis de </w:t>
            </w:r>
            <w:r w:rsidR="00336000">
              <w:rPr>
                <w:rFonts w:ascii="Calibri" w:eastAsia="Times New Roman" w:hAnsi="Calibri" w:cs="Times New Roman"/>
                <w:color w:val="000000"/>
                <w:lang w:eastAsia="es-CR"/>
              </w:rPr>
              <w:t xml:space="preserve">la situación del sector de agua, </w:t>
            </w:r>
            <w:r w:rsidR="001B5748">
              <w:rPr>
                <w:rFonts w:ascii="Calibri" w:eastAsia="Times New Roman" w:hAnsi="Calibri" w:cs="Times New Roman"/>
                <w:color w:val="000000"/>
                <w:lang w:eastAsia="es-CR"/>
              </w:rPr>
              <w:t>los logros de</w:t>
            </w:r>
            <w:r w:rsidR="00336000">
              <w:rPr>
                <w:rFonts w:ascii="Calibri" w:eastAsia="Times New Roman" w:hAnsi="Calibri" w:cs="Times New Roman"/>
                <w:color w:val="000000"/>
                <w:lang w:eastAsia="es-CR"/>
              </w:rPr>
              <w:t xml:space="preserve"> </w:t>
            </w:r>
            <w:r w:rsidR="001B5748">
              <w:rPr>
                <w:rFonts w:ascii="Calibri" w:eastAsia="Times New Roman" w:hAnsi="Calibri" w:cs="Times New Roman"/>
                <w:color w:val="000000"/>
                <w:lang w:eastAsia="es-CR"/>
              </w:rPr>
              <w:t>l</w:t>
            </w:r>
            <w:r w:rsidR="00336000">
              <w:rPr>
                <w:rFonts w:ascii="Calibri" w:eastAsia="Times New Roman" w:hAnsi="Calibri" w:cs="Times New Roman"/>
                <w:color w:val="000000"/>
                <w:lang w:eastAsia="es-CR"/>
              </w:rPr>
              <w:t xml:space="preserve">a IA en 2015 y </w:t>
            </w:r>
            <w:r w:rsidR="001B5748">
              <w:rPr>
                <w:rFonts w:ascii="Calibri" w:eastAsia="Times New Roman" w:hAnsi="Calibri" w:cs="Times New Roman"/>
                <w:color w:val="000000"/>
                <w:lang w:eastAsia="es-CR"/>
              </w:rPr>
              <w:t>un resumen de las pautas que guían el quehacer de la intendencia en el período 2016 –</w:t>
            </w:r>
            <w:r w:rsidR="006F5999">
              <w:rPr>
                <w:rFonts w:ascii="Calibri" w:eastAsia="Times New Roman" w:hAnsi="Calibri" w:cs="Times New Roman"/>
                <w:color w:val="000000"/>
                <w:lang w:eastAsia="es-CR"/>
              </w:rPr>
              <w:t xml:space="preserve"> 2017. (Ver Anexo 20</w:t>
            </w:r>
            <w:r w:rsidR="001B5748">
              <w:rPr>
                <w:rFonts w:ascii="Calibri" w:eastAsia="Times New Roman" w:hAnsi="Calibri" w:cs="Times New Roman"/>
                <w:color w:val="000000"/>
                <w:lang w:eastAsia="es-CR"/>
              </w:rPr>
              <w:t>).</w:t>
            </w:r>
          </w:p>
          <w:p w:rsidR="0033741B" w:rsidRPr="00A242F7" w:rsidRDefault="0033741B" w:rsidP="0033741B">
            <w:pPr>
              <w:spacing w:after="0" w:line="240" w:lineRule="auto"/>
              <w:jc w:val="both"/>
              <w:rPr>
                <w:rFonts w:ascii="Calibri" w:eastAsia="Times New Roman" w:hAnsi="Calibri" w:cs="Times New Roman"/>
                <w:color w:val="000000"/>
                <w:lang w:eastAsia="es-CR"/>
              </w:rPr>
            </w:pPr>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A242F7" w:rsidRPr="0033741B" w:rsidRDefault="0033741B" w:rsidP="009F478C">
            <w:pPr>
              <w:spacing w:after="0" w:line="240" w:lineRule="auto"/>
              <w:jc w:val="both"/>
              <w:rPr>
                <w:rFonts w:ascii="Calibri" w:eastAsia="Times New Roman" w:hAnsi="Calibri" w:cs="Times New Roman"/>
                <w:i/>
                <w:color w:val="000000"/>
                <w:lang w:eastAsia="es-CR"/>
              </w:rPr>
            </w:pPr>
            <w:r w:rsidRPr="0033741B">
              <w:rPr>
                <w:rFonts w:ascii="Calibri" w:eastAsia="Times New Roman" w:hAnsi="Calibri" w:cs="Times New Roman"/>
                <w:i/>
                <w:color w:val="000000"/>
                <w:lang w:eastAsia="es-CR"/>
              </w:rPr>
              <w:t xml:space="preserve">g.2. </w:t>
            </w:r>
            <w:r w:rsidR="00A242F7" w:rsidRPr="0033741B">
              <w:rPr>
                <w:rFonts w:ascii="Calibri" w:eastAsia="Times New Roman" w:hAnsi="Calibri" w:cs="Times New Roman"/>
                <w:i/>
                <w:color w:val="000000"/>
                <w:lang w:eastAsia="es-CR"/>
              </w:rPr>
              <w:t>Preparación de propuestas de proyectos de desarrollo de la regulación y fortalecimiento institucional para el nuevo Regulador General</w:t>
            </w:r>
            <w:r w:rsidRPr="0033741B">
              <w:rPr>
                <w:rFonts w:ascii="Calibri" w:eastAsia="Times New Roman" w:hAnsi="Calibri" w:cs="Times New Roman"/>
                <w:i/>
                <w:color w:val="000000"/>
                <w:lang w:eastAsia="es-CR"/>
              </w:rPr>
              <w:t>.</w:t>
            </w:r>
          </w:p>
          <w:p w:rsidR="0033741B" w:rsidRDefault="0033741B" w:rsidP="009F478C">
            <w:pPr>
              <w:spacing w:after="0" w:line="240" w:lineRule="auto"/>
              <w:jc w:val="both"/>
              <w:rPr>
                <w:rFonts w:ascii="Calibri" w:eastAsia="Times New Roman" w:hAnsi="Calibri" w:cs="Times New Roman"/>
                <w:color w:val="000000"/>
                <w:lang w:eastAsia="es-CR"/>
              </w:rPr>
            </w:pPr>
          </w:p>
          <w:p w:rsidR="001B5748" w:rsidRDefault="006A3B60"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Como una contribución a la preparación del nuevo Plan Estratégico Institucional –PEI-, se identificaron una serie de “Proyectos de Fortalecimiento Institucional y Desarrollo Regulatorio”.  </w:t>
            </w:r>
            <w:r w:rsidR="00BC06B1">
              <w:rPr>
                <w:rFonts w:ascii="Calibri" w:eastAsia="Times New Roman" w:hAnsi="Calibri" w:cs="Times New Roman"/>
                <w:color w:val="000000"/>
                <w:lang w:eastAsia="es-CR"/>
              </w:rPr>
              <w:t xml:space="preserve">Los proyectos </w:t>
            </w:r>
            <w:r w:rsidR="00336000">
              <w:rPr>
                <w:rFonts w:ascii="Calibri" w:eastAsia="Times New Roman" w:hAnsi="Calibri" w:cs="Times New Roman"/>
                <w:color w:val="000000"/>
                <w:lang w:eastAsia="es-CR"/>
              </w:rPr>
              <w:t>consideran</w:t>
            </w:r>
            <w:r w:rsidR="00BC06B1">
              <w:rPr>
                <w:rFonts w:ascii="Calibri" w:eastAsia="Times New Roman" w:hAnsi="Calibri" w:cs="Times New Roman"/>
                <w:color w:val="000000"/>
                <w:lang w:eastAsia="es-CR"/>
              </w:rPr>
              <w:t xml:space="preserve"> temas tarifarios, incluyendo variables transversales, comisiones para el desarrollo de metodologías tarifarias, </w:t>
            </w:r>
            <w:r w:rsidR="00336000">
              <w:rPr>
                <w:rFonts w:ascii="Calibri" w:eastAsia="Times New Roman" w:hAnsi="Calibri" w:cs="Times New Roman"/>
                <w:color w:val="000000"/>
                <w:lang w:eastAsia="es-CR"/>
              </w:rPr>
              <w:t xml:space="preserve">el </w:t>
            </w:r>
            <w:r w:rsidR="00BC06B1">
              <w:rPr>
                <w:rFonts w:ascii="Calibri" w:eastAsia="Times New Roman" w:hAnsi="Calibri" w:cs="Times New Roman"/>
                <w:color w:val="000000"/>
                <w:lang w:eastAsia="es-CR"/>
              </w:rPr>
              <w:t>proceso de elaboración de metodología</w:t>
            </w:r>
            <w:r w:rsidR="00336000">
              <w:rPr>
                <w:rFonts w:ascii="Calibri" w:eastAsia="Times New Roman" w:hAnsi="Calibri" w:cs="Times New Roman"/>
                <w:color w:val="000000"/>
                <w:lang w:eastAsia="es-CR"/>
              </w:rPr>
              <w:t>s tarifarias</w:t>
            </w:r>
            <w:r w:rsidR="00BC06B1">
              <w:rPr>
                <w:rFonts w:ascii="Calibri" w:eastAsia="Times New Roman" w:hAnsi="Calibri" w:cs="Times New Roman"/>
                <w:color w:val="000000"/>
                <w:lang w:eastAsia="es-CR"/>
              </w:rPr>
              <w:t xml:space="preserve"> y </w:t>
            </w:r>
            <w:r w:rsidR="00336000">
              <w:rPr>
                <w:rFonts w:ascii="Calibri" w:eastAsia="Times New Roman" w:hAnsi="Calibri" w:cs="Times New Roman"/>
                <w:color w:val="000000"/>
                <w:lang w:eastAsia="es-CR"/>
              </w:rPr>
              <w:t xml:space="preserve">la </w:t>
            </w:r>
            <w:r w:rsidR="00BC06B1">
              <w:rPr>
                <w:rFonts w:ascii="Calibri" w:eastAsia="Times New Roman" w:hAnsi="Calibri" w:cs="Times New Roman"/>
                <w:color w:val="000000"/>
                <w:lang w:eastAsia="es-CR"/>
              </w:rPr>
              <w:t>estructura del informe</w:t>
            </w:r>
            <w:r w:rsidR="00336000">
              <w:rPr>
                <w:rFonts w:ascii="Calibri" w:eastAsia="Times New Roman" w:hAnsi="Calibri" w:cs="Times New Roman"/>
                <w:color w:val="000000"/>
                <w:lang w:eastAsia="es-CR"/>
              </w:rPr>
              <w:t xml:space="preserve"> generado</w:t>
            </w:r>
            <w:r w:rsidR="00BC06B1">
              <w:rPr>
                <w:rFonts w:ascii="Calibri" w:eastAsia="Times New Roman" w:hAnsi="Calibri" w:cs="Times New Roman"/>
                <w:color w:val="000000"/>
                <w:lang w:eastAsia="es-CR"/>
              </w:rPr>
              <w:t xml:space="preserve">. Se propuestas de política de subsidios y </w:t>
            </w:r>
            <w:r w:rsidR="00336000">
              <w:rPr>
                <w:rFonts w:ascii="Calibri" w:eastAsia="Times New Roman" w:hAnsi="Calibri" w:cs="Times New Roman"/>
                <w:color w:val="000000"/>
                <w:lang w:eastAsia="es-CR"/>
              </w:rPr>
              <w:t xml:space="preserve">de </w:t>
            </w:r>
            <w:r w:rsidR="00BC06B1">
              <w:rPr>
                <w:rFonts w:ascii="Calibri" w:eastAsia="Times New Roman" w:hAnsi="Calibri" w:cs="Times New Roman"/>
                <w:color w:val="000000"/>
                <w:lang w:eastAsia="es-CR"/>
              </w:rPr>
              <w:t xml:space="preserve">estructura tarifaria para </w:t>
            </w:r>
            <w:r w:rsidR="00336000">
              <w:rPr>
                <w:rFonts w:ascii="Calibri" w:eastAsia="Times New Roman" w:hAnsi="Calibri" w:cs="Times New Roman"/>
                <w:color w:val="000000"/>
                <w:lang w:eastAsia="es-CR"/>
              </w:rPr>
              <w:t xml:space="preserve">la </w:t>
            </w:r>
            <w:r w:rsidR="00BC06B1">
              <w:rPr>
                <w:rFonts w:ascii="Calibri" w:eastAsia="Times New Roman" w:hAnsi="Calibri" w:cs="Times New Roman"/>
                <w:color w:val="000000"/>
                <w:lang w:eastAsia="es-CR"/>
              </w:rPr>
              <w:t xml:space="preserve">aplicación de subsidios en el sector de agua potable y para la fiscalización de la gestión de los operadores. También se incluyen temas de apoyo fundamentales, como la contabilidad regulatoria y el sistema de información regulatorio </w:t>
            </w:r>
            <w:r w:rsidR="00336000">
              <w:rPr>
                <w:rFonts w:ascii="Calibri" w:eastAsia="Times New Roman" w:hAnsi="Calibri" w:cs="Times New Roman"/>
                <w:color w:val="000000"/>
                <w:lang w:eastAsia="es-CR"/>
              </w:rPr>
              <w:t>-</w:t>
            </w:r>
            <w:r w:rsidR="00BC06B1">
              <w:rPr>
                <w:rFonts w:ascii="Calibri" w:eastAsia="Times New Roman" w:hAnsi="Calibri" w:cs="Times New Roman"/>
                <w:color w:val="000000"/>
                <w:lang w:eastAsia="es-CR"/>
              </w:rPr>
              <w:t>SIR-. Asimismo, se citan proyectos relacionados con la revisión del rol de diferentes áreas de trabajo</w:t>
            </w:r>
            <w:r w:rsidR="004E04CA">
              <w:rPr>
                <w:rFonts w:ascii="Calibri" w:eastAsia="Times New Roman" w:hAnsi="Calibri" w:cs="Times New Roman"/>
                <w:color w:val="000000"/>
                <w:lang w:eastAsia="es-CR"/>
              </w:rPr>
              <w:t xml:space="preserve">, </w:t>
            </w:r>
            <w:r w:rsidR="00BC06B1">
              <w:rPr>
                <w:rFonts w:ascii="Calibri" w:eastAsia="Times New Roman" w:hAnsi="Calibri" w:cs="Times New Roman"/>
                <w:color w:val="000000"/>
                <w:lang w:eastAsia="es-CR"/>
              </w:rPr>
              <w:t>las áreas de apoyo o soporte</w:t>
            </w:r>
            <w:r w:rsidR="004E04CA">
              <w:rPr>
                <w:rFonts w:ascii="Calibri" w:eastAsia="Times New Roman" w:hAnsi="Calibri" w:cs="Times New Roman"/>
                <w:color w:val="000000"/>
                <w:lang w:eastAsia="es-CR"/>
              </w:rPr>
              <w:t>, el crecimiento institucional</w:t>
            </w:r>
            <w:r w:rsidR="00F81731">
              <w:rPr>
                <w:rFonts w:ascii="Calibri" w:eastAsia="Times New Roman" w:hAnsi="Calibri" w:cs="Times New Roman"/>
                <w:color w:val="000000"/>
                <w:lang w:eastAsia="es-CR"/>
              </w:rPr>
              <w:t xml:space="preserve">, </w:t>
            </w:r>
            <w:r w:rsidR="004E04CA">
              <w:rPr>
                <w:rFonts w:ascii="Calibri" w:eastAsia="Times New Roman" w:hAnsi="Calibri" w:cs="Times New Roman"/>
                <w:color w:val="000000"/>
                <w:lang w:eastAsia="es-CR"/>
              </w:rPr>
              <w:t>las relaciones con entes</w:t>
            </w:r>
            <w:r w:rsidR="00F81731">
              <w:rPr>
                <w:rFonts w:ascii="Calibri" w:eastAsia="Times New Roman" w:hAnsi="Calibri" w:cs="Times New Roman"/>
                <w:color w:val="000000"/>
                <w:lang w:eastAsia="es-CR"/>
              </w:rPr>
              <w:t xml:space="preserve"> externos y</w:t>
            </w:r>
            <w:r w:rsidR="004E04CA">
              <w:rPr>
                <w:rFonts w:ascii="Calibri" w:eastAsia="Times New Roman" w:hAnsi="Calibri" w:cs="Times New Roman"/>
                <w:color w:val="000000"/>
                <w:lang w:eastAsia="es-CR"/>
              </w:rPr>
              <w:t xml:space="preserve"> </w:t>
            </w:r>
            <w:r w:rsidR="00F81731">
              <w:rPr>
                <w:rFonts w:ascii="Calibri" w:eastAsia="Times New Roman" w:hAnsi="Calibri" w:cs="Times New Roman"/>
                <w:color w:val="000000"/>
                <w:lang w:eastAsia="es-CR"/>
              </w:rPr>
              <w:t xml:space="preserve">la creación de direcciones regionales de Aresep, </w:t>
            </w:r>
            <w:r w:rsidR="004E04CA">
              <w:rPr>
                <w:rFonts w:ascii="Calibri" w:eastAsia="Times New Roman" w:hAnsi="Calibri" w:cs="Times New Roman"/>
                <w:color w:val="000000"/>
                <w:lang w:eastAsia="es-CR"/>
              </w:rPr>
              <w:t xml:space="preserve">entre otros aspectos de interés. (Ver Anexo </w:t>
            </w:r>
            <w:r w:rsidR="001C2AA9">
              <w:rPr>
                <w:rFonts w:ascii="Calibri" w:eastAsia="Times New Roman" w:hAnsi="Calibri" w:cs="Times New Roman"/>
                <w:color w:val="000000"/>
                <w:lang w:eastAsia="es-CR"/>
              </w:rPr>
              <w:t>2</w:t>
            </w:r>
            <w:r w:rsidR="006F5999">
              <w:rPr>
                <w:rFonts w:ascii="Calibri" w:eastAsia="Times New Roman" w:hAnsi="Calibri" w:cs="Times New Roman"/>
                <w:color w:val="000000"/>
                <w:lang w:eastAsia="es-CR"/>
              </w:rPr>
              <w:t>1</w:t>
            </w:r>
            <w:r w:rsidR="004E04CA">
              <w:rPr>
                <w:rFonts w:ascii="Calibri" w:eastAsia="Times New Roman" w:hAnsi="Calibri" w:cs="Times New Roman"/>
                <w:color w:val="000000"/>
                <w:lang w:eastAsia="es-CR"/>
              </w:rPr>
              <w:t>).</w:t>
            </w:r>
          </w:p>
          <w:p w:rsidR="0033741B" w:rsidRPr="00A242F7" w:rsidRDefault="0033741B" w:rsidP="004E04CA">
            <w:pPr>
              <w:spacing w:after="0" w:line="240" w:lineRule="auto"/>
              <w:jc w:val="both"/>
              <w:rPr>
                <w:rFonts w:ascii="Calibri" w:eastAsia="Times New Roman" w:hAnsi="Calibri" w:cs="Times New Roman"/>
                <w:color w:val="000000"/>
                <w:lang w:eastAsia="es-CR"/>
              </w:rPr>
            </w:pPr>
          </w:p>
        </w:tc>
      </w:tr>
      <w:tr w:rsidR="00A242F7" w:rsidRPr="00A242F7" w:rsidTr="004E04CA">
        <w:trPr>
          <w:trHeight w:val="60"/>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34" w:name="_Toc451425955"/>
            <w:bookmarkStart w:id="35" w:name="_Toc451426718"/>
            <w:r w:rsidRPr="00A242F7">
              <w:rPr>
                <w:rFonts w:ascii="Calibri" w:eastAsia="Times New Roman" w:hAnsi="Calibri" w:cs="Times New Roman"/>
                <w:b/>
                <w:bCs/>
                <w:color w:val="000000"/>
                <w:lang w:eastAsia="es-CR"/>
              </w:rPr>
              <w:t>Elaboración o revisión y ajuste de informes conjuntos</w:t>
            </w:r>
            <w:bookmarkEnd w:id="34"/>
            <w:bookmarkEnd w:id="35"/>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color w:val="000000"/>
                <w:sz w:val="8"/>
                <w:lang w:eastAsia="es-CR"/>
              </w:rPr>
            </w:pPr>
          </w:p>
          <w:p w:rsidR="004E04CA" w:rsidRDefault="004E04CA" w:rsidP="009F478C">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La elaboración de informes o su revisión y ajuste, se realizó de manera permanente como parte del trabajo en equipo de la intendencia. Algunos de los temas trabajados bajo esta modalidad son los siguientes.</w:t>
            </w:r>
          </w:p>
          <w:p w:rsidR="004E04CA" w:rsidRPr="00336000" w:rsidRDefault="004E04CA" w:rsidP="009F478C">
            <w:pPr>
              <w:spacing w:after="0" w:line="240" w:lineRule="auto"/>
              <w:jc w:val="both"/>
              <w:rPr>
                <w:rFonts w:ascii="Calibri" w:eastAsia="Times New Roman" w:hAnsi="Calibri" w:cs="Times New Roman"/>
                <w:color w:val="000000"/>
                <w:sz w:val="16"/>
                <w:lang w:eastAsia="es-CR"/>
              </w:rPr>
            </w:pPr>
          </w:p>
          <w:p w:rsidR="00A242F7" w:rsidRPr="004E04CA" w:rsidRDefault="004E04CA" w:rsidP="009F478C">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h.1. </w:t>
            </w:r>
            <w:r w:rsidR="00A242F7" w:rsidRPr="004E04CA">
              <w:rPr>
                <w:rFonts w:ascii="Calibri" w:eastAsia="Times New Roman" w:hAnsi="Calibri" w:cs="Times New Roman"/>
                <w:i/>
                <w:color w:val="000000"/>
                <w:lang w:eastAsia="es-CR"/>
              </w:rPr>
              <w:t>Informe de labores de IA 2014</w:t>
            </w:r>
            <w:r w:rsidR="00336000">
              <w:rPr>
                <w:rFonts w:ascii="Calibri" w:eastAsia="Times New Roman" w:hAnsi="Calibri" w:cs="Times New Roman"/>
                <w:i/>
                <w:color w:val="000000"/>
                <w:lang w:eastAsia="es-CR"/>
              </w:rPr>
              <w:t>.</w:t>
            </w:r>
          </w:p>
          <w:p w:rsidR="009F478C" w:rsidRPr="003B06B2" w:rsidRDefault="009F478C" w:rsidP="003B06B2">
            <w:pPr>
              <w:spacing w:after="0" w:line="240" w:lineRule="auto"/>
              <w:ind w:firstLineChars="100" w:firstLine="140"/>
              <w:jc w:val="both"/>
              <w:rPr>
                <w:rFonts w:ascii="Calibri" w:eastAsia="Times New Roman" w:hAnsi="Calibri" w:cs="Times New Roman"/>
                <w:color w:val="000000"/>
                <w:sz w:val="14"/>
                <w:lang w:eastAsia="es-CR"/>
              </w:rPr>
            </w:pPr>
          </w:p>
        </w:tc>
      </w:tr>
      <w:tr w:rsidR="00336000" w:rsidRPr="00A242F7" w:rsidTr="009B6C71">
        <w:trPr>
          <w:trHeight w:val="288"/>
        </w:trPr>
        <w:tc>
          <w:tcPr>
            <w:tcW w:w="8480" w:type="dxa"/>
            <w:tcBorders>
              <w:top w:val="nil"/>
              <w:left w:val="nil"/>
              <w:bottom w:val="nil"/>
              <w:right w:val="nil"/>
            </w:tcBorders>
            <w:shd w:val="clear" w:color="auto" w:fill="auto"/>
            <w:vAlign w:val="bottom"/>
            <w:hideMark/>
          </w:tcPr>
          <w:p w:rsidR="00336000" w:rsidRPr="00336000" w:rsidRDefault="00336000" w:rsidP="009B6C71">
            <w:pPr>
              <w:spacing w:after="0" w:line="240" w:lineRule="auto"/>
              <w:jc w:val="both"/>
              <w:rPr>
                <w:rFonts w:ascii="Calibri" w:eastAsia="Times New Roman" w:hAnsi="Calibri" w:cs="Times New Roman"/>
                <w:i/>
                <w:color w:val="000000"/>
                <w:sz w:val="6"/>
                <w:lang w:eastAsia="es-CR"/>
              </w:rPr>
            </w:pPr>
          </w:p>
          <w:p w:rsidR="00336000" w:rsidRDefault="00336000" w:rsidP="009B6C71">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h.</w:t>
            </w:r>
            <w:r>
              <w:rPr>
                <w:rFonts w:ascii="Calibri" w:eastAsia="Times New Roman" w:hAnsi="Calibri" w:cs="Times New Roman"/>
                <w:i/>
                <w:color w:val="000000"/>
                <w:lang w:eastAsia="es-CR"/>
              </w:rPr>
              <w:t>2</w:t>
            </w:r>
            <w:r w:rsidRPr="004E04CA">
              <w:rPr>
                <w:rFonts w:ascii="Calibri" w:eastAsia="Times New Roman" w:hAnsi="Calibri" w:cs="Times New Roman"/>
                <w:i/>
                <w:color w:val="000000"/>
                <w:lang w:eastAsia="es-CR"/>
              </w:rPr>
              <w:t>. Informe para el nuevo gobierno 2014.</w:t>
            </w:r>
          </w:p>
          <w:p w:rsidR="00336000" w:rsidRPr="00336000" w:rsidRDefault="00336000" w:rsidP="009B6C71">
            <w:pPr>
              <w:spacing w:after="0" w:line="240" w:lineRule="auto"/>
              <w:jc w:val="both"/>
              <w:rPr>
                <w:rFonts w:ascii="Calibri" w:eastAsia="Times New Roman" w:hAnsi="Calibri" w:cs="Times New Roman"/>
                <w:i/>
                <w:color w:val="000000"/>
                <w:sz w:val="18"/>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4E04CA" w:rsidRDefault="004E04CA" w:rsidP="00336000">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h.</w:t>
            </w:r>
            <w:r w:rsidR="00336000">
              <w:rPr>
                <w:rFonts w:ascii="Calibri" w:eastAsia="Times New Roman" w:hAnsi="Calibri" w:cs="Times New Roman"/>
                <w:i/>
                <w:color w:val="000000"/>
                <w:lang w:eastAsia="es-CR"/>
              </w:rPr>
              <w:t>3</w:t>
            </w:r>
            <w:r w:rsidRPr="004E04CA">
              <w:rPr>
                <w:rFonts w:ascii="Calibri" w:eastAsia="Times New Roman" w:hAnsi="Calibri" w:cs="Times New Roman"/>
                <w:i/>
                <w:color w:val="000000"/>
                <w:lang w:eastAsia="es-CR"/>
              </w:rPr>
              <w:t xml:space="preserve">. </w:t>
            </w:r>
            <w:r w:rsidR="00A242F7" w:rsidRPr="004E04CA">
              <w:rPr>
                <w:rFonts w:ascii="Calibri" w:eastAsia="Times New Roman" w:hAnsi="Calibri" w:cs="Times New Roman"/>
                <w:i/>
                <w:color w:val="000000"/>
                <w:lang w:eastAsia="es-CR"/>
              </w:rPr>
              <w:t>Revisión y presentación de informe de labores de IA 2015</w:t>
            </w:r>
            <w:r w:rsidRPr="004E04CA">
              <w:rPr>
                <w:rFonts w:ascii="Calibri" w:eastAsia="Times New Roman" w:hAnsi="Calibri" w:cs="Times New Roman"/>
                <w:i/>
                <w:color w:val="000000"/>
                <w:lang w:eastAsia="es-CR"/>
              </w:rPr>
              <w:t>.</w:t>
            </w:r>
          </w:p>
        </w:tc>
      </w:tr>
      <w:tr w:rsidR="009F478C" w:rsidRPr="00A242F7" w:rsidTr="00A242F7">
        <w:trPr>
          <w:trHeight w:val="288"/>
        </w:trPr>
        <w:tc>
          <w:tcPr>
            <w:tcW w:w="8480" w:type="dxa"/>
            <w:tcBorders>
              <w:top w:val="nil"/>
              <w:left w:val="nil"/>
              <w:bottom w:val="nil"/>
              <w:right w:val="nil"/>
            </w:tcBorders>
            <w:shd w:val="clear" w:color="auto" w:fill="auto"/>
            <w:vAlign w:val="bottom"/>
          </w:tcPr>
          <w:p w:rsidR="009F478C" w:rsidRPr="00336000" w:rsidRDefault="009F478C" w:rsidP="00336000">
            <w:pPr>
              <w:spacing w:after="0" w:line="240" w:lineRule="auto"/>
              <w:ind w:firstLineChars="100" w:firstLine="60"/>
              <w:jc w:val="both"/>
              <w:rPr>
                <w:rFonts w:ascii="Calibri" w:eastAsia="Times New Roman" w:hAnsi="Calibri" w:cs="Times New Roman"/>
                <w:i/>
                <w:color w:val="000000"/>
                <w:sz w:val="6"/>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4E04CA" w:rsidRDefault="004E04CA" w:rsidP="00336000">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h.</w:t>
            </w:r>
            <w:r w:rsidR="00336000">
              <w:rPr>
                <w:rFonts w:ascii="Calibri" w:eastAsia="Times New Roman" w:hAnsi="Calibri" w:cs="Times New Roman"/>
                <w:i/>
                <w:color w:val="000000"/>
                <w:lang w:eastAsia="es-CR"/>
              </w:rPr>
              <w:t>4.</w:t>
            </w:r>
            <w:r w:rsidRPr="004E04CA">
              <w:rPr>
                <w:rFonts w:ascii="Calibri" w:eastAsia="Times New Roman" w:hAnsi="Calibri" w:cs="Times New Roman"/>
                <w:i/>
                <w:color w:val="000000"/>
                <w:lang w:eastAsia="es-CR"/>
              </w:rPr>
              <w:t xml:space="preserve"> </w:t>
            </w:r>
            <w:r w:rsidR="00A242F7" w:rsidRPr="004E04CA">
              <w:rPr>
                <w:rFonts w:ascii="Calibri" w:eastAsia="Times New Roman" w:hAnsi="Calibri" w:cs="Times New Roman"/>
                <w:i/>
                <w:color w:val="000000"/>
                <w:lang w:eastAsia="es-CR"/>
              </w:rPr>
              <w:t>Revisión y ajustes al POI 2016</w:t>
            </w:r>
            <w:r w:rsidRPr="004E04CA">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3B06B2" w:rsidRDefault="009F478C" w:rsidP="003B06B2">
            <w:pPr>
              <w:spacing w:after="0" w:line="240" w:lineRule="auto"/>
              <w:ind w:firstLineChars="100" w:firstLine="180"/>
              <w:jc w:val="both"/>
              <w:rPr>
                <w:rFonts w:ascii="Calibri" w:eastAsia="Times New Roman" w:hAnsi="Calibri" w:cs="Times New Roman"/>
                <w:i/>
                <w:color w:val="000000"/>
                <w:sz w:val="18"/>
                <w:lang w:eastAsia="es-CR"/>
              </w:rPr>
            </w:pPr>
          </w:p>
          <w:p w:rsidR="00A242F7" w:rsidRDefault="004E04CA" w:rsidP="00336000">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h.</w:t>
            </w:r>
            <w:r w:rsidR="00336000">
              <w:rPr>
                <w:rFonts w:ascii="Calibri" w:eastAsia="Times New Roman" w:hAnsi="Calibri" w:cs="Times New Roman"/>
                <w:i/>
                <w:color w:val="000000"/>
                <w:lang w:eastAsia="es-CR"/>
              </w:rPr>
              <w:t>5</w:t>
            </w:r>
            <w:r w:rsidRPr="004E04CA">
              <w:rPr>
                <w:rFonts w:ascii="Calibri" w:eastAsia="Times New Roman" w:hAnsi="Calibri" w:cs="Times New Roman"/>
                <w:i/>
                <w:color w:val="000000"/>
                <w:lang w:eastAsia="es-CR"/>
              </w:rPr>
              <w:t xml:space="preserve">. </w:t>
            </w:r>
            <w:r w:rsidR="00A242F7" w:rsidRPr="004E04CA">
              <w:rPr>
                <w:rFonts w:ascii="Calibri" w:eastAsia="Times New Roman" w:hAnsi="Calibri" w:cs="Times New Roman"/>
                <w:i/>
                <w:color w:val="000000"/>
                <w:lang w:eastAsia="es-CR"/>
              </w:rPr>
              <w:t>Propuestas de proyectos para 2016</w:t>
            </w:r>
            <w:r w:rsidRPr="004E04CA">
              <w:rPr>
                <w:rFonts w:ascii="Calibri" w:eastAsia="Times New Roman" w:hAnsi="Calibri" w:cs="Times New Roman"/>
                <w:i/>
                <w:color w:val="000000"/>
                <w:lang w:eastAsia="es-CR"/>
              </w:rPr>
              <w:t>.</w:t>
            </w:r>
          </w:p>
          <w:p w:rsidR="00336000" w:rsidRPr="004E04CA" w:rsidRDefault="00336000" w:rsidP="00336000">
            <w:pPr>
              <w:spacing w:after="0" w:line="240" w:lineRule="auto"/>
              <w:jc w:val="both"/>
              <w:rPr>
                <w:rFonts w:ascii="Calibri" w:eastAsia="Times New Roman" w:hAnsi="Calibri" w:cs="Times New Roman"/>
                <w:i/>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4E04CA" w:rsidRDefault="004E04CA" w:rsidP="00336000">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h.6. </w:t>
            </w:r>
            <w:r w:rsidR="00A242F7" w:rsidRPr="004E04CA">
              <w:rPr>
                <w:rFonts w:ascii="Calibri" w:eastAsia="Times New Roman" w:hAnsi="Calibri" w:cs="Times New Roman"/>
                <w:i/>
                <w:color w:val="000000"/>
                <w:lang w:eastAsia="es-CR"/>
              </w:rPr>
              <w:t xml:space="preserve">Informe a comisión del gobierno </w:t>
            </w:r>
            <w:r w:rsidR="00810AE4" w:rsidRPr="004E04CA">
              <w:rPr>
                <w:rFonts w:ascii="Calibri" w:eastAsia="Times New Roman" w:hAnsi="Calibri" w:cs="Times New Roman"/>
                <w:i/>
                <w:color w:val="000000"/>
                <w:lang w:eastAsia="es-CR"/>
              </w:rPr>
              <w:t>de Chin</w:t>
            </w:r>
            <w:r w:rsidR="00336000">
              <w:rPr>
                <w:rFonts w:ascii="Calibri" w:eastAsia="Times New Roman" w:hAnsi="Calibri" w:cs="Times New Roman"/>
                <w:i/>
                <w:color w:val="000000"/>
                <w:lang w:eastAsia="es-CR"/>
              </w:rPr>
              <w:t>a</w:t>
            </w:r>
            <w:r w:rsidRPr="004E04CA">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4E04CA" w:rsidRDefault="009F478C" w:rsidP="009F478C">
            <w:pPr>
              <w:spacing w:after="0" w:line="240" w:lineRule="auto"/>
              <w:jc w:val="both"/>
              <w:rPr>
                <w:rFonts w:ascii="Calibri" w:eastAsia="Times New Roman" w:hAnsi="Calibri" w:cs="Times New Roman"/>
                <w:i/>
                <w:color w:val="000000"/>
                <w:lang w:eastAsia="es-CR"/>
              </w:rPr>
            </w:pPr>
          </w:p>
          <w:p w:rsidR="00A242F7" w:rsidRPr="004E04CA" w:rsidRDefault="004E04CA" w:rsidP="009F478C">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lastRenderedPageBreak/>
              <w:t xml:space="preserve">h.7. </w:t>
            </w:r>
            <w:r w:rsidR="00A242F7" w:rsidRPr="004E04CA">
              <w:rPr>
                <w:rFonts w:ascii="Calibri" w:eastAsia="Times New Roman" w:hAnsi="Calibri" w:cs="Times New Roman"/>
                <w:i/>
                <w:color w:val="000000"/>
                <w:lang w:eastAsia="es-CR"/>
              </w:rPr>
              <w:t>Informe a comisión del gobierno de Kenia</w:t>
            </w:r>
            <w:r w:rsidRPr="004E04CA">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i/>
                <w:color w:val="000000"/>
                <w:sz w:val="16"/>
                <w:lang w:eastAsia="es-CR"/>
              </w:rPr>
            </w:pPr>
          </w:p>
          <w:p w:rsidR="00A242F7" w:rsidRPr="004E04CA" w:rsidRDefault="004E04CA" w:rsidP="003B06B2">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h.8. </w:t>
            </w:r>
            <w:r w:rsidR="00A242F7" w:rsidRPr="004E04CA">
              <w:rPr>
                <w:rFonts w:ascii="Calibri" w:eastAsia="Times New Roman" w:hAnsi="Calibri" w:cs="Times New Roman"/>
                <w:i/>
                <w:color w:val="000000"/>
                <w:lang w:eastAsia="es-CR"/>
              </w:rPr>
              <w:t xml:space="preserve">Presentación para foro en Perú </w:t>
            </w:r>
            <w:r w:rsidR="003B06B2">
              <w:rPr>
                <w:rFonts w:ascii="Calibri" w:eastAsia="Times New Roman" w:hAnsi="Calibri" w:cs="Times New Roman"/>
                <w:i/>
                <w:color w:val="000000"/>
                <w:lang w:eastAsia="es-CR"/>
              </w:rPr>
              <w:t>sobre</w:t>
            </w:r>
            <w:r w:rsidR="00A242F7" w:rsidRPr="004E04CA">
              <w:rPr>
                <w:rFonts w:ascii="Calibri" w:eastAsia="Times New Roman" w:hAnsi="Calibri" w:cs="Times New Roman"/>
                <w:i/>
                <w:color w:val="000000"/>
                <w:lang w:eastAsia="es-CR"/>
              </w:rPr>
              <w:t xml:space="preserve"> la tarifa de protección de recursos hídricos</w:t>
            </w:r>
            <w:r w:rsidRPr="004E04CA">
              <w:rPr>
                <w:rFonts w:ascii="Calibri" w:eastAsia="Times New Roman" w:hAnsi="Calibri" w:cs="Times New Roman"/>
                <w:i/>
                <w:color w:val="000000"/>
                <w:lang w:eastAsia="es-CR"/>
              </w:rPr>
              <w:t>.</w:t>
            </w:r>
            <w:r w:rsidR="003B06B2">
              <w:rPr>
                <w:rFonts w:ascii="Calibri" w:eastAsia="Times New Roman" w:hAnsi="Calibri" w:cs="Times New Roman"/>
                <w:i/>
                <w:color w:val="000000"/>
                <w:lang w:eastAsia="es-CR"/>
              </w:rPr>
              <w:t xml:space="preserve"> (Ver Anexo 22)</w:t>
            </w:r>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i/>
                <w:color w:val="000000"/>
                <w:sz w:val="16"/>
                <w:lang w:eastAsia="es-CR"/>
              </w:rPr>
            </w:pPr>
          </w:p>
          <w:p w:rsidR="00A242F7" w:rsidRPr="004E04CA" w:rsidRDefault="004E04CA" w:rsidP="009F478C">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h.9. </w:t>
            </w:r>
            <w:r w:rsidR="00A242F7" w:rsidRPr="004E04CA">
              <w:rPr>
                <w:rFonts w:ascii="Calibri" w:eastAsia="Times New Roman" w:hAnsi="Calibri" w:cs="Times New Roman"/>
                <w:i/>
                <w:color w:val="000000"/>
                <w:lang w:eastAsia="es-CR"/>
              </w:rPr>
              <w:t>Presentación para foro de la UNA sobre la propuesta tarifaria para el programa de protección de recursos hídricos</w:t>
            </w:r>
            <w:r w:rsidRPr="004E04CA">
              <w:rPr>
                <w:rFonts w:ascii="Calibri" w:eastAsia="Times New Roman" w:hAnsi="Calibri" w:cs="Times New Roman"/>
                <w:i/>
                <w:color w:val="000000"/>
                <w:lang w:eastAsia="es-CR"/>
              </w:rPr>
              <w:t>.</w:t>
            </w: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i/>
                <w:color w:val="000000"/>
                <w:sz w:val="16"/>
                <w:lang w:eastAsia="es-CR"/>
              </w:rPr>
            </w:pPr>
          </w:p>
          <w:p w:rsidR="00A242F7" w:rsidRPr="004E04CA" w:rsidRDefault="004E04CA" w:rsidP="004E04CA">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h.10. </w:t>
            </w:r>
            <w:r w:rsidR="00A242F7" w:rsidRPr="004E04CA">
              <w:rPr>
                <w:rFonts w:ascii="Calibri" w:eastAsia="Times New Roman" w:hAnsi="Calibri" w:cs="Times New Roman"/>
                <w:i/>
                <w:color w:val="000000"/>
                <w:lang w:eastAsia="es-CR"/>
              </w:rPr>
              <w:t>Revisión de documentos preliminares de consultoría de C</w:t>
            </w:r>
            <w:r w:rsidRPr="004E04CA">
              <w:rPr>
                <w:rFonts w:ascii="Calibri" w:eastAsia="Times New Roman" w:hAnsi="Calibri" w:cs="Times New Roman"/>
                <w:i/>
                <w:color w:val="000000"/>
                <w:lang w:eastAsia="es-CR"/>
              </w:rPr>
              <w:t>edarena.</w:t>
            </w:r>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i/>
                <w:color w:val="000000"/>
                <w:sz w:val="18"/>
                <w:lang w:eastAsia="es-CR"/>
              </w:rPr>
            </w:pPr>
          </w:p>
          <w:p w:rsidR="00A242F7" w:rsidRPr="004E04CA" w:rsidRDefault="004E04CA" w:rsidP="009F478C">
            <w:pPr>
              <w:spacing w:after="0" w:line="240" w:lineRule="auto"/>
              <w:jc w:val="both"/>
              <w:rPr>
                <w:rFonts w:ascii="Calibri" w:eastAsia="Times New Roman" w:hAnsi="Calibri" w:cs="Times New Roman"/>
                <w:i/>
                <w:color w:val="000000"/>
                <w:lang w:eastAsia="es-CR"/>
              </w:rPr>
            </w:pPr>
            <w:r w:rsidRPr="004E04CA">
              <w:rPr>
                <w:rFonts w:ascii="Calibri" w:eastAsia="Times New Roman" w:hAnsi="Calibri" w:cs="Times New Roman"/>
                <w:i/>
                <w:color w:val="000000"/>
                <w:lang w:eastAsia="es-CR"/>
              </w:rPr>
              <w:t xml:space="preserve">h.11. </w:t>
            </w:r>
            <w:r w:rsidR="00A242F7" w:rsidRPr="004E04CA">
              <w:rPr>
                <w:rFonts w:ascii="Calibri" w:eastAsia="Times New Roman" w:hAnsi="Calibri" w:cs="Times New Roman"/>
                <w:i/>
                <w:color w:val="000000"/>
                <w:lang w:eastAsia="es-CR"/>
              </w:rPr>
              <w:t>Revisión y ajuste al informe de la UCR sobre indicadores de eficiencia y desempeño en los operadores de servicios de agua regulados</w:t>
            </w:r>
            <w:r w:rsidRPr="004E04CA">
              <w:rPr>
                <w:rFonts w:ascii="Calibri" w:eastAsia="Times New Roman" w:hAnsi="Calibri" w:cs="Times New Roman"/>
                <w:i/>
                <w:color w:val="000000"/>
                <w:lang w:eastAsia="es-CR"/>
              </w:rPr>
              <w:t>.</w:t>
            </w:r>
          </w:p>
        </w:tc>
      </w:tr>
      <w:tr w:rsidR="00A242F7" w:rsidRPr="00A242F7" w:rsidTr="00A242F7">
        <w:trPr>
          <w:trHeight w:val="276"/>
        </w:trPr>
        <w:tc>
          <w:tcPr>
            <w:tcW w:w="8480" w:type="dxa"/>
            <w:tcBorders>
              <w:top w:val="nil"/>
              <w:left w:val="nil"/>
              <w:bottom w:val="nil"/>
              <w:right w:val="nil"/>
            </w:tcBorders>
            <w:shd w:val="clear" w:color="auto" w:fill="auto"/>
            <w:noWrap/>
            <w:vAlign w:val="bottom"/>
            <w:hideMark/>
          </w:tcPr>
          <w:p w:rsidR="00A242F7" w:rsidRPr="00A242F7" w:rsidRDefault="00A242F7" w:rsidP="005745EF">
            <w:pPr>
              <w:spacing w:after="0" w:line="240" w:lineRule="auto"/>
              <w:ind w:firstLineChars="100" w:firstLine="220"/>
              <w:jc w:val="both"/>
              <w:rPr>
                <w:rFonts w:ascii="Calibri" w:eastAsia="Times New Roman" w:hAnsi="Calibri" w:cs="Times New Roman"/>
                <w:color w:val="000000"/>
                <w:lang w:eastAsia="es-CR"/>
              </w:rPr>
            </w:pPr>
          </w:p>
        </w:tc>
      </w:tr>
      <w:tr w:rsidR="00A242F7" w:rsidRPr="00A242F7" w:rsidTr="00A242F7">
        <w:trPr>
          <w:trHeight w:val="288"/>
        </w:trPr>
        <w:tc>
          <w:tcPr>
            <w:tcW w:w="8480" w:type="dxa"/>
            <w:tcBorders>
              <w:top w:val="nil"/>
              <w:left w:val="nil"/>
              <w:bottom w:val="nil"/>
              <w:right w:val="nil"/>
            </w:tcBorders>
            <w:shd w:val="clear" w:color="auto" w:fill="auto"/>
            <w:vAlign w:val="bottom"/>
            <w:hideMark/>
          </w:tcPr>
          <w:p w:rsidR="00A242F7" w:rsidRPr="00A242F7" w:rsidRDefault="00A242F7" w:rsidP="00C00BC0">
            <w:pPr>
              <w:pStyle w:val="Prrafodelista"/>
              <w:numPr>
                <w:ilvl w:val="0"/>
                <w:numId w:val="5"/>
              </w:numPr>
              <w:outlineLvl w:val="1"/>
              <w:rPr>
                <w:rFonts w:ascii="Calibri" w:eastAsia="Times New Roman" w:hAnsi="Calibri" w:cs="Times New Roman"/>
                <w:b/>
                <w:bCs/>
                <w:color w:val="000000"/>
                <w:lang w:eastAsia="es-CR"/>
              </w:rPr>
            </w:pPr>
            <w:bookmarkStart w:id="36" w:name="_Toc451425956"/>
            <w:bookmarkStart w:id="37" w:name="_Toc451426719"/>
            <w:r w:rsidRPr="00A242F7">
              <w:rPr>
                <w:rFonts w:ascii="Calibri" w:eastAsia="Times New Roman" w:hAnsi="Calibri" w:cs="Times New Roman"/>
                <w:b/>
                <w:bCs/>
                <w:color w:val="000000"/>
                <w:lang w:eastAsia="es-CR"/>
              </w:rPr>
              <w:t>Otras labores</w:t>
            </w:r>
            <w:bookmarkEnd w:id="36"/>
            <w:bookmarkEnd w:id="37"/>
          </w:p>
        </w:tc>
      </w:tr>
      <w:tr w:rsidR="00A242F7" w:rsidRPr="00A242F7" w:rsidTr="00A242F7">
        <w:trPr>
          <w:trHeight w:val="576"/>
        </w:trPr>
        <w:tc>
          <w:tcPr>
            <w:tcW w:w="8480" w:type="dxa"/>
            <w:tcBorders>
              <w:top w:val="nil"/>
              <w:left w:val="nil"/>
              <w:bottom w:val="nil"/>
              <w:right w:val="nil"/>
            </w:tcBorders>
            <w:shd w:val="clear" w:color="auto" w:fill="auto"/>
            <w:vAlign w:val="bottom"/>
            <w:hideMark/>
          </w:tcPr>
          <w:p w:rsidR="009F478C" w:rsidRPr="003B06B2" w:rsidRDefault="009F478C" w:rsidP="009F478C">
            <w:pPr>
              <w:spacing w:after="0" w:line="240" w:lineRule="auto"/>
              <w:jc w:val="both"/>
              <w:rPr>
                <w:rFonts w:ascii="Calibri" w:eastAsia="Times New Roman" w:hAnsi="Calibri" w:cs="Times New Roman"/>
                <w:color w:val="000000"/>
                <w:sz w:val="4"/>
                <w:lang w:eastAsia="es-CR"/>
              </w:rPr>
            </w:pPr>
          </w:p>
          <w:p w:rsidR="00A242F7" w:rsidRDefault="005E35B5" w:rsidP="005E35B5">
            <w:pPr>
              <w:spacing w:after="0" w:line="240" w:lineRule="auto"/>
              <w:jc w:val="both"/>
              <w:rPr>
                <w:rFonts w:ascii="Calibri" w:eastAsia="Times New Roman" w:hAnsi="Calibri" w:cs="Times New Roman"/>
                <w:color w:val="000000"/>
                <w:lang w:eastAsia="es-CR"/>
              </w:rPr>
            </w:pPr>
            <w:r>
              <w:rPr>
                <w:rFonts w:ascii="Calibri" w:eastAsia="Times New Roman" w:hAnsi="Calibri" w:cs="Times New Roman"/>
                <w:color w:val="000000"/>
                <w:lang w:eastAsia="es-CR"/>
              </w:rPr>
              <w:t>El suscrito realizó permanentemente l</w:t>
            </w:r>
            <w:r w:rsidR="00A242F7" w:rsidRPr="00A242F7">
              <w:rPr>
                <w:rFonts w:ascii="Calibri" w:eastAsia="Times New Roman" w:hAnsi="Calibri" w:cs="Times New Roman"/>
                <w:color w:val="000000"/>
                <w:lang w:eastAsia="es-CR"/>
              </w:rPr>
              <w:t>abores generales de atención de consultas y asesoría en diversos aspectos cotidianos de la marcha de la intendencia</w:t>
            </w:r>
            <w:r>
              <w:rPr>
                <w:rFonts w:ascii="Calibri" w:eastAsia="Times New Roman" w:hAnsi="Calibri" w:cs="Times New Roman"/>
                <w:color w:val="000000"/>
                <w:lang w:eastAsia="es-CR"/>
              </w:rPr>
              <w:t>.</w:t>
            </w:r>
          </w:p>
          <w:p w:rsidR="005E35B5" w:rsidRPr="00A242F7" w:rsidRDefault="005E35B5" w:rsidP="005E35B5">
            <w:pPr>
              <w:spacing w:after="0" w:line="240" w:lineRule="auto"/>
              <w:jc w:val="both"/>
              <w:rPr>
                <w:rFonts w:ascii="Calibri" w:eastAsia="Times New Roman" w:hAnsi="Calibri" w:cs="Times New Roman"/>
                <w:color w:val="000000"/>
                <w:lang w:eastAsia="es-CR"/>
              </w:rPr>
            </w:pPr>
          </w:p>
        </w:tc>
      </w:tr>
    </w:tbl>
    <w:p w:rsidR="00DA5942" w:rsidRPr="00304333" w:rsidRDefault="00DA5942" w:rsidP="00C00BC0">
      <w:pPr>
        <w:pStyle w:val="Prrafodelista"/>
        <w:numPr>
          <w:ilvl w:val="0"/>
          <w:numId w:val="3"/>
        </w:numPr>
        <w:outlineLvl w:val="0"/>
        <w:rPr>
          <w:rFonts w:ascii="Calibri" w:eastAsia="Times New Roman" w:hAnsi="Calibri" w:cs="Times New Roman"/>
          <w:b/>
          <w:bCs/>
          <w:color w:val="000000"/>
          <w:lang w:eastAsia="es-CR"/>
        </w:rPr>
      </w:pPr>
      <w:bookmarkStart w:id="38" w:name="_Toc451425957"/>
      <w:bookmarkStart w:id="39" w:name="_Toc451426720"/>
      <w:r w:rsidRPr="00304333">
        <w:rPr>
          <w:rFonts w:ascii="Calibri" w:eastAsia="Times New Roman" w:hAnsi="Calibri" w:cs="Times New Roman"/>
          <w:b/>
          <w:bCs/>
          <w:color w:val="000000"/>
          <w:lang w:eastAsia="es-CR"/>
        </w:rPr>
        <w:t>Estado de los proyectos en curso</w:t>
      </w:r>
      <w:bookmarkEnd w:id="38"/>
      <w:bookmarkEnd w:id="39"/>
    </w:p>
    <w:p w:rsidR="00F81731" w:rsidRPr="00553EBB" w:rsidRDefault="00F81731" w:rsidP="00F81731">
      <w:pPr>
        <w:spacing w:after="0" w:line="240" w:lineRule="auto"/>
        <w:jc w:val="both"/>
        <w:rPr>
          <w:rFonts w:ascii="Calibri" w:eastAsia="Times New Roman" w:hAnsi="Calibri" w:cs="Times New Roman"/>
          <w:color w:val="000000"/>
          <w:sz w:val="8"/>
          <w:lang w:eastAsia="es-CR"/>
        </w:rPr>
      </w:pPr>
    </w:p>
    <w:p w:rsidR="005E35B5" w:rsidRPr="00F81731" w:rsidRDefault="005E35B5" w:rsidP="00F81731">
      <w:pPr>
        <w:spacing w:after="0" w:line="240" w:lineRule="auto"/>
        <w:jc w:val="both"/>
        <w:rPr>
          <w:rFonts w:ascii="Calibri" w:eastAsia="Times New Roman" w:hAnsi="Calibri" w:cs="Times New Roman"/>
          <w:color w:val="000000"/>
          <w:lang w:eastAsia="es-CR"/>
        </w:rPr>
      </w:pPr>
      <w:r w:rsidRPr="00F81731">
        <w:rPr>
          <w:rFonts w:ascii="Calibri" w:eastAsia="Times New Roman" w:hAnsi="Calibri" w:cs="Times New Roman"/>
          <w:color w:val="000000"/>
          <w:lang w:eastAsia="es-CR"/>
        </w:rPr>
        <w:t xml:space="preserve">Los proyectos en curso más relevantes incluyen el nuevo modelo tarifario –que fue enviado nuevamente a audiencia pública-, el manual y guías de fiscalización, que están en proceso de implementarse, </w:t>
      </w:r>
      <w:r w:rsidR="00F81731" w:rsidRPr="00F81731">
        <w:rPr>
          <w:rFonts w:ascii="Calibri" w:eastAsia="Times New Roman" w:hAnsi="Calibri" w:cs="Times New Roman"/>
          <w:color w:val="000000"/>
          <w:lang w:eastAsia="es-CR"/>
        </w:rPr>
        <w:t>el Plan de Capacitación, que incorporará nuevos componentes en el futuro, la política de subsidios, el informe de estructura de subsidios del sector de agua potable y la propuesta de estructura de un informe de metodología tarifaria, los cuales aún no han sido formalmente aprobados.</w:t>
      </w:r>
    </w:p>
    <w:p w:rsidR="00F81731" w:rsidRPr="003B06B2" w:rsidRDefault="00F81731" w:rsidP="005745EF">
      <w:pPr>
        <w:jc w:val="both"/>
        <w:rPr>
          <w:sz w:val="6"/>
        </w:rPr>
      </w:pPr>
    </w:p>
    <w:p w:rsidR="00DA5942" w:rsidRPr="00F81731" w:rsidRDefault="00DA5942" w:rsidP="00C00BC0">
      <w:pPr>
        <w:pStyle w:val="Prrafodelista"/>
        <w:numPr>
          <w:ilvl w:val="0"/>
          <w:numId w:val="3"/>
        </w:numPr>
        <w:outlineLvl w:val="0"/>
        <w:rPr>
          <w:rFonts w:ascii="Calibri" w:eastAsia="Times New Roman" w:hAnsi="Calibri" w:cs="Times New Roman"/>
          <w:b/>
          <w:bCs/>
          <w:color w:val="000000"/>
          <w:lang w:eastAsia="es-CR"/>
        </w:rPr>
      </w:pPr>
      <w:bookmarkStart w:id="40" w:name="_Toc451425958"/>
      <w:bookmarkStart w:id="41" w:name="_Toc451426721"/>
      <w:r w:rsidRPr="00F81731">
        <w:rPr>
          <w:rFonts w:ascii="Calibri" w:eastAsia="Times New Roman" w:hAnsi="Calibri" w:cs="Times New Roman"/>
          <w:b/>
          <w:bCs/>
          <w:color w:val="000000"/>
          <w:lang w:eastAsia="es-CR"/>
        </w:rPr>
        <w:t>Sugerencias para la buena marcha de la Institución</w:t>
      </w:r>
      <w:bookmarkEnd w:id="40"/>
      <w:bookmarkEnd w:id="41"/>
    </w:p>
    <w:p w:rsidR="00F81731" w:rsidRDefault="00F81731" w:rsidP="00834B03">
      <w:pPr>
        <w:spacing w:before="60" w:after="0" w:line="240" w:lineRule="auto"/>
        <w:jc w:val="both"/>
        <w:rPr>
          <w:rFonts w:ascii="Calibri" w:eastAsia="Times New Roman" w:hAnsi="Calibri" w:cs="Times New Roman"/>
          <w:color w:val="000000"/>
          <w:lang w:eastAsia="es-CR"/>
        </w:rPr>
      </w:pPr>
      <w:r w:rsidRPr="00A97EFA">
        <w:rPr>
          <w:rFonts w:ascii="Calibri" w:eastAsia="Times New Roman" w:hAnsi="Calibri" w:cs="Times New Roman"/>
          <w:color w:val="000000"/>
          <w:lang w:eastAsia="es-CR"/>
        </w:rPr>
        <w:t>En cuanto a las sugerencias del suscrito para la buena marcha de la institución, se remite al punto g.2.</w:t>
      </w:r>
      <w:r w:rsidR="00336000">
        <w:rPr>
          <w:rFonts w:ascii="Calibri" w:eastAsia="Times New Roman" w:hAnsi="Calibri" w:cs="Times New Roman"/>
          <w:color w:val="000000"/>
          <w:lang w:eastAsia="es-CR"/>
        </w:rPr>
        <w:t>,</w:t>
      </w:r>
      <w:r w:rsidRPr="00A97EFA">
        <w:rPr>
          <w:rFonts w:ascii="Calibri" w:eastAsia="Times New Roman" w:hAnsi="Calibri" w:cs="Times New Roman"/>
          <w:color w:val="000000"/>
          <w:lang w:eastAsia="es-CR"/>
        </w:rPr>
        <w:t xml:space="preserve"> en el cual se citan un conjunto de proyectos priorizados que se sugiere incorporar en los planes de fortalecimiento institucional y desarrollo regulatorio de los próximos años.</w:t>
      </w:r>
    </w:p>
    <w:p w:rsidR="00A97EFA" w:rsidRPr="003B06B2" w:rsidRDefault="00A97EFA" w:rsidP="00834B03">
      <w:pPr>
        <w:spacing w:before="60" w:after="0" w:line="240" w:lineRule="auto"/>
        <w:jc w:val="both"/>
        <w:rPr>
          <w:rFonts w:ascii="Calibri" w:eastAsia="Times New Roman" w:hAnsi="Calibri" w:cs="Times New Roman"/>
          <w:color w:val="000000"/>
          <w:sz w:val="20"/>
          <w:lang w:eastAsia="es-CR"/>
        </w:rPr>
      </w:pPr>
    </w:p>
    <w:p w:rsidR="00F81731" w:rsidRDefault="00DA5942" w:rsidP="00C00BC0">
      <w:pPr>
        <w:pStyle w:val="Prrafodelista"/>
        <w:numPr>
          <w:ilvl w:val="0"/>
          <w:numId w:val="3"/>
        </w:numPr>
        <w:outlineLvl w:val="0"/>
        <w:rPr>
          <w:rFonts w:ascii="Calibri" w:eastAsia="Times New Roman" w:hAnsi="Calibri" w:cs="Times New Roman"/>
          <w:b/>
          <w:bCs/>
          <w:color w:val="000000"/>
          <w:lang w:eastAsia="es-CR"/>
        </w:rPr>
      </w:pPr>
      <w:bookmarkStart w:id="42" w:name="_Toc451425959"/>
      <w:bookmarkStart w:id="43" w:name="_Toc451426722"/>
      <w:r w:rsidRPr="00DA5942">
        <w:rPr>
          <w:rFonts w:ascii="Calibri" w:eastAsia="Times New Roman" w:hAnsi="Calibri" w:cs="Times New Roman"/>
          <w:b/>
          <w:bCs/>
          <w:color w:val="000000"/>
          <w:lang w:eastAsia="es-CR"/>
        </w:rPr>
        <w:t>Control interno</w:t>
      </w:r>
      <w:bookmarkEnd w:id="42"/>
      <w:bookmarkEnd w:id="43"/>
    </w:p>
    <w:p w:rsidR="00A97EFA" w:rsidRPr="003B06B2" w:rsidRDefault="00A97EFA" w:rsidP="00A97EFA">
      <w:pPr>
        <w:spacing w:after="0" w:line="240" w:lineRule="auto"/>
        <w:jc w:val="both"/>
        <w:rPr>
          <w:rFonts w:ascii="Calibri" w:eastAsia="Times New Roman" w:hAnsi="Calibri" w:cs="Times New Roman"/>
          <w:color w:val="000000"/>
          <w:sz w:val="8"/>
          <w:lang w:eastAsia="es-CR"/>
        </w:rPr>
      </w:pPr>
    </w:p>
    <w:p w:rsidR="00F81731" w:rsidRDefault="00F81731" w:rsidP="00F81731">
      <w:pPr>
        <w:jc w:val="both"/>
      </w:pPr>
      <w:r>
        <w:t xml:space="preserve">En </w:t>
      </w:r>
      <w:r w:rsidR="00B01650">
        <w:t>cuanto</w:t>
      </w:r>
      <w:r>
        <w:t xml:space="preserve"> al control interno, </w:t>
      </w:r>
      <w:r w:rsidR="00336000">
        <w:t>se deja constancia de que se</w:t>
      </w:r>
      <w:r>
        <w:t xml:space="preserve"> cumplió con todas las disposiciones vigentes en la materia. Adicionalmente, se </w:t>
      </w:r>
      <w:r w:rsidR="00B01650">
        <w:t xml:space="preserve">adjunta la </w:t>
      </w:r>
      <w:r w:rsidR="00A97EFA">
        <w:t xml:space="preserve">boleta de devolución de los activos fijos </w:t>
      </w:r>
      <w:r w:rsidR="0087345A">
        <w:t>a cargo el suscrito, mediante el Formulario para Movimientos de Activos. Tal y como lo establece la normativa vigente, estos activos fueron tra</w:t>
      </w:r>
      <w:r w:rsidR="00336000">
        <w:t>sladados a la jefatura inmediata</w:t>
      </w:r>
      <w:r w:rsidR="0087345A">
        <w:t xml:space="preserve">, </w:t>
      </w:r>
      <w:r w:rsidR="00336000">
        <w:t xml:space="preserve">que </w:t>
      </w:r>
      <w:r w:rsidR="0087345A">
        <w:t xml:space="preserve">en este caso </w:t>
      </w:r>
      <w:r w:rsidR="00336000">
        <w:t>corresponde a</w:t>
      </w:r>
      <w:r w:rsidR="0087345A">
        <w:t>l señor Carlos Herrera Amighetti, Intendente de Agua.</w:t>
      </w:r>
      <w:r w:rsidR="001C2AA9">
        <w:t xml:space="preserve"> (</w:t>
      </w:r>
      <w:r w:rsidR="00955956">
        <w:t>V</w:t>
      </w:r>
      <w:r w:rsidR="001C2AA9">
        <w:t>er Anexo 2</w:t>
      </w:r>
      <w:r w:rsidR="003B06B2">
        <w:t>3</w:t>
      </w:r>
      <w:r w:rsidR="001C2AA9">
        <w:t>).</w:t>
      </w:r>
    </w:p>
    <w:p w:rsidR="0087345A" w:rsidRPr="0087345A" w:rsidRDefault="0087345A" w:rsidP="00C00BC0">
      <w:pPr>
        <w:pStyle w:val="Prrafodelista"/>
        <w:numPr>
          <w:ilvl w:val="0"/>
          <w:numId w:val="3"/>
        </w:numPr>
        <w:outlineLvl w:val="0"/>
        <w:rPr>
          <w:rFonts w:ascii="Calibri" w:eastAsia="Times New Roman" w:hAnsi="Calibri" w:cs="Times New Roman"/>
          <w:b/>
          <w:bCs/>
          <w:color w:val="000000"/>
          <w:lang w:eastAsia="es-CR"/>
        </w:rPr>
      </w:pPr>
      <w:bookmarkStart w:id="44" w:name="_Toc451425960"/>
      <w:bookmarkStart w:id="45" w:name="_Toc451426723"/>
      <w:r w:rsidRPr="0087345A">
        <w:rPr>
          <w:rFonts w:ascii="Calibri" w:eastAsia="Times New Roman" w:hAnsi="Calibri" w:cs="Times New Roman"/>
          <w:b/>
          <w:bCs/>
          <w:color w:val="000000"/>
          <w:lang w:eastAsia="es-CR"/>
        </w:rPr>
        <w:t>Agradecimiento</w:t>
      </w:r>
      <w:bookmarkEnd w:id="44"/>
      <w:bookmarkEnd w:id="45"/>
    </w:p>
    <w:p w:rsidR="0087345A" w:rsidRPr="003B06B2" w:rsidRDefault="0087345A" w:rsidP="0087345A">
      <w:pPr>
        <w:spacing w:after="0" w:line="240" w:lineRule="auto"/>
        <w:jc w:val="both"/>
        <w:rPr>
          <w:rFonts w:ascii="Calibri" w:eastAsia="Times New Roman" w:hAnsi="Calibri" w:cs="Times New Roman"/>
          <w:color w:val="000000"/>
          <w:sz w:val="8"/>
          <w:lang w:eastAsia="es-CR"/>
        </w:rPr>
      </w:pPr>
    </w:p>
    <w:p w:rsidR="0087345A" w:rsidRPr="00F81731" w:rsidRDefault="0087345A" w:rsidP="00F81731">
      <w:pPr>
        <w:jc w:val="both"/>
      </w:pPr>
      <w:r>
        <w:t>Finalmente, el suscrito desea dejar patente su agradecimiento a la institución por los años de servicio prestados y a los compañeros de trabajo</w:t>
      </w:r>
      <w:r w:rsidR="00EA42F6">
        <w:t>,</w:t>
      </w:r>
      <w:r>
        <w:t xml:space="preserve"> que siempre mostraron su capacidad y disposición a colaborar en los diferentes proyectos desarrollados.</w:t>
      </w:r>
    </w:p>
    <w:sectPr w:rsidR="0087345A" w:rsidRPr="00F81731" w:rsidSect="00620A8E">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40" w:rsidRDefault="00E75740" w:rsidP="00DA5942">
      <w:pPr>
        <w:spacing w:after="0" w:line="240" w:lineRule="auto"/>
      </w:pPr>
      <w:r>
        <w:separator/>
      </w:r>
    </w:p>
  </w:endnote>
  <w:endnote w:type="continuationSeparator" w:id="0">
    <w:p w:rsidR="00E75740" w:rsidRDefault="00E75740" w:rsidP="00DA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FA" w:rsidRDefault="00A97E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9122"/>
      <w:docPartObj>
        <w:docPartGallery w:val="Page Numbers (Bottom of Page)"/>
        <w:docPartUnique/>
      </w:docPartObj>
    </w:sdtPr>
    <w:sdtEndPr/>
    <w:sdtContent>
      <w:p w:rsidR="00A97EFA" w:rsidRDefault="00A97EFA">
        <w:pPr>
          <w:pStyle w:val="Piedepgina"/>
          <w:jc w:val="center"/>
        </w:pPr>
        <w:r>
          <w:t>-</w:t>
        </w:r>
        <w:r>
          <w:fldChar w:fldCharType="begin"/>
        </w:r>
        <w:r>
          <w:instrText>PAGE   \* MERGEFORMAT</w:instrText>
        </w:r>
        <w:r>
          <w:fldChar w:fldCharType="separate"/>
        </w:r>
        <w:r w:rsidR="00D8583B" w:rsidRPr="00D8583B">
          <w:rPr>
            <w:noProof/>
            <w:lang w:val="es-ES"/>
          </w:rPr>
          <w:t>1</w:t>
        </w:r>
        <w:r>
          <w:fldChar w:fldCharType="end"/>
        </w:r>
        <w:r>
          <w:t>-</w:t>
        </w:r>
      </w:p>
    </w:sdtContent>
  </w:sdt>
  <w:p w:rsidR="00A97EFA" w:rsidRDefault="00A97E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FA" w:rsidRDefault="00A97E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40" w:rsidRDefault="00E75740" w:rsidP="00DA5942">
      <w:pPr>
        <w:spacing w:after="0" w:line="240" w:lineRule="auto"/>
      </w:pPr>
      <w:r>
        <w:separator/>
      </w:r>
    </w:p>
  </w:footnote>
  <w:footnote w:type="continuationSeparator" w:id="0">
    <w:p w:rsidR="00E75740" w:rsidRDefault="00E75740" w:rsidP="00DA5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FA" w:rsidRDefault="00A97E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FA" w:rsidRDefault="00A97E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FA" w:rsidRDefault="00A97E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5E87"/>
    <w:multiLevelType w:val="hybridMultilevel"/>
    <w:tmpl w:val="4920A2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5746806"/>
    <w:multiLevelType w:val="hybridMultilevel"/>
    <w:tmpl w:val="8C785D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333E54"/>
    <w:multiLevelType w:val="hybridMultilevel"/>
    <w:tmpl w:val="A63006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AD2AF9"/>
    <w:multiLevelType w:val="hybridMultilevel"/>
    <w:tmpl w:val="3AEA8F40"/>
    <w:lvl w:ilvl="0" w:tplc="302A2448">
      <w:start w:val="1"/>
      <w:numFmt w:val="decimal"/>
      <w:lvlText w:val="%1."/>
      <w:lvlJc w:val="left"/>
      <w:pPr>
        <w:ind w:left="720" w:hanging="360"/>
      </w:pPr>
      <w:rPr>
        <w:rFonts w:asciiTheme="minorHAnsi" w:eastAsiaTheme="minorHAnsi" w:hAnsiTheme="minorHAnsi" w:cstheme="minorBidi"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3F686C"/>
    <w:multiLevelType w:val="hybridMultilevel"/>
    <w:tmpl w:val="962A47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087799"/>
    <w:multiLevelType w:val="hybridMultilevel"/>
    <w:tmpl w:val="F91895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F7"/>
    <w:rsid w:val="00037220"/>
    <w:rsid w:val="00067AD3"/>
    <w:rsid w:val="000B7DF1"/>
    <w:rsid w:val="000E492C"/>
    <w:rsid w:val="000E6919"/>
    <w:rsid w:val="001501D2"/>
    <w:rsid w:val="001B347F"/>
    <w:rsid w:val="001B5748"/>
    <w:rsid w:val="001C2AA9"/>
    <w:rsid w:val="002A1718"/>
    <w:rsid w:val="002C32E3"/>
    <w:rsid w:val="00304333"/>
    <w:rsid w:val="00336000"/>
    <w:rsid w:val="0033741B"/>
    <w:rsid w:val="00343864"/>
    <w:rsid w:val="00355F6D"/>
    <w:rsid w:val="00362324"/>
    <w:rsid w:val="003B06B2"/>
    <w:rsid w:val="003D5698"/>
    <w:rsid w:val="003E795E"/>
    <w:rsid w:val="00436E2A"/>
    <w:rsid w:val="00457188"/>
    <w:rsid w:val="00481CDB"/>
    <w:rsid w:val="004D4C34"/>
    <w:rsid w:val="004E04CA"/>
    <w:rsid w:val="00553EBB"/>
    <w:rsid w:val="00554F2D"/>
    <w:rsid w:val="005745EF"/>
    <w:rsid w:val="005D547D"/>
    <w:rsid w:val="005E35B5"/>
    <w:rsid w:val="00607345"/>
    <w:rsid w:val="00620A8E"/>
    <w:rsid w:val="00620C0D"/>
    <w:rsid w:val="00623C16"/>
    <w:rsid w:val="006850D7"/>
    <w:rsid w:val="00686F15"/>
    <w:rsid w:val="006A0A77"/>
    <w:rsid w:val="006A3B60"/>
    <w:rsid w:val="006F5999"/>
    <w:rsid w:val="007111C6"/>
    <w:rsid w:val="007345DD"/>
    <w:rsid w:val="00810AE4"/>
    <w:rsid w:val="0081626D"/>
    <w:rsid w:val="00834B03"/>
    <w:rsid w:val="00835E10"/>
    <w:rsid w:val="0087345A"/>
    <w:rsid w:val="008C1765"/>
    <w:rsid w:val="009448B3"/>
    <w:rsid w:val="00946820"/>
    <w:rsid w:val="00955956"/>
    <w:rsid w:val="0097307C"/>
    <w:rsid w:val="009F478C"/>
    <w:rsid w:val="00A04C7A"/>
    <w:rsid w:val="00A20193"/>
    <w:rsid w:val="00A242F7"/>
    <w:rsid w:val="00A87DF0"/>
    <w:rsid w:val="00A97EFA"/>
    <w:rsid w:val="00AB217C"/>
    <w:rsid w:val="00B01650"/>
    <w:rsid w:val="00B10BB5"/>
    <w:rsid w:val="00B735E5"/>
    <w:rsid w:val="00B90DC3"/>
    <w:rsid w:val="00BA17CC"/>
    <w:rsid w:val="00BC06B1"/>
    <w:rsid w:val="00BC15B3"/>
    <w:rsid w:val="00C00BC0"/>
    <w:rsid w:val="00C11A97"/>
    <w:rsid w:val="00C22EA7"/>
    <w:rsid w:val="00C628A6"/>
    <w:rsid w:val="00CB007D"/>
    <w:rsid w:val="00CC3B16"/>
    <w:rsid w:val="00CE4ABD"/>
    <w:rsid w:val="00D24362"/>
    <w:rsid w:val="00D47C90"/>
    <w:rsid w:val="00D8583B"/>
    <w:rsid w:val="00DA5942"/>
    <w:rsid w:val="00DB4DF2"/>
    <w:rsid w:val="00E2295B"/>
    <w:rsid w:val="00E75740"/>
    <w:rsid w:val="00E90EB1"/>
    <w:rsid w:val="00EA42F6"/>
    <w:rsid w:val="00EC1272"/>
    <w:rsid w:val="00ED246E"/>
    <w:rsid w:val="00F61AA2"/>
    <w:rsid w:val="00F817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4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478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F478C"/>
    <w:pPr>
      <w:ind w:left="720"/>
      <w:contextualSpacing/>
    </w:pPr>
  </w:style>
  <w:style w:type="paragraph" w:styleId="Encabezado">
    <w:name w:val="header"/>
    <w:basedOn w:val="Normal"/>
    <w:link w:val="EncabezadoCar"/>
    <w:uiPriority w:val="99"/>
    <w:unhideWhenUsed/>
    <w:rsid w:val="00DA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942"/>
  </w:style>
  <w:style w:type="paragraph" w:styleId="Piedepgina">
    <w:name w:val="footer"/>
    <w:basedOn w:val="Normal"/>
    <w:link w:val="PiedepginaCar"/>
    <w:uiPriority w:val="99"/>
    <w:unhideWhenUsed/>
    <w:rsid w:val="00DA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942"/>
  </w:style>
  <w:style w:type="paragraph" w:styleId="Sinespaciado">
    <w:name w:val="No Spacing"/>
    <w:link w:val="SinespaciadoCar"/>
    <w:uiPriority w:val="1"/>
    <w:qFormat/>
    <w:rsid w:val="00620A8E"/>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20A8E"/>
    <w:rPr>
      <w:rFonts w:eastAsiaTheme="minorEastAsia"/>
      <w:lang w:val="es-ES" w:eastAsia="es-ES"/>
    </w:rPr>
  </w:style>
  <w:style w:type="paragraph" w:styleId="Textodeglobo">
    <w:name w:val="Balloon Text"/>
    <w:basedOn w:val="Normal"/>
    <w:link w:val="TextodegloboCar"/>
    <w:uiPriority w:val="99"/>
    <w:semiHidden/>
    <w:unhideWhenUsed/>
    <w:rsid w:val="00620A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A8E"/>
    <w:rPr>
      <w:rFonts w:ascii="Tahoma" w:hAnsi="Tahoma" w:cs="Tahoma"/>
      <w:sz w:val="16"/>
      <w:szCs w:val="16"/>
    </w:rPr>
  </w:style>
  <w:style w:type="paragraph" w:styleId="TDC2">
    <w:name w:val="toc 2"/>
    <w:basedOn w:val="Normal"/>
    <w:next w:val="Normal"/>
    <w:autoRedefine/>
    <w:uiPriority w:val="39"/>
    <w:unhideWhenUsed/>
    <w:rsid w:val="00553EBB"/>
    <w:pPr>
      <w:spacing w:after="0" w:line="360" w:lineRule="auto"/>
      <w:ind w:left="220"/>
      <w:jc w:val="center"/>
    </w:pPr>
    <w:rPr>
      <w:b/>
      <w:smallCaps/>
      <w:sz w:val="28"/>
    </w:rPr>
  </w:style>
  <w:style w:type="paragraph" w:styleId="TDC1">
    <w:name w:val="toc 1"/>
    <w:basedOn w:val="Normal"/>
    <w:next w:val="Normal"/>
    <w:autoRedefine/>
    <w:uiPriority w:val="39"/>
    <w:unhideWhenUsed/>
    <w:rsid w:val="00620A8E"/>
    <w:pPr>
      <w:spacing w:before="120" w:after="120"/>
    </w:pPr>
    <w:rPr>
      <w:b/>
      <w:bCs/>
      <w:caps/>
      <w:sz w:val="20"/>
      <w:szCs w:val="20"/>
    </w:rPr>
  </w:style>
  <w:style w:type="character" w:styleId="Hipervnculo">
    <w:name w:val="Hyperlink"/>
    <w:basedOn w:val="Fuentedeprrafopredeter"/>
    <w:uiPriority w:val="99"/>
    <w:unhideWhenUsed/>
    <w:rsid w:val="00620A8E"/>
    <w:rPr>
      <w:color w:val="0563C1" w:themeColor="hyperlink"/>
      <w:u w:val="single"/>
    </w:rPr>
  </w:style>
  <w:style w:type="paragraph" w:styleId="TDC3">
    <w:name w:val="toc 3"/>
    <w:basedOn w:val="Normal"/>
    <w:next w:val="Normal"/>
    <w:autoRedefine/>
    <w:uiPriority w:val="39"/>
    <w:unhideWhenUsed/>
    <w:rsid w:val="00C00BC0"/>
    <w:pPr>
      <w:spacing w:after="0"/>
      <w:ind w:left="440"/>
    </w:pPr>
    <w:rPr>
      <w:i/>
      <w:iCs/>
      <w:sz w:val="20"/>
      <w:szCs w:val="20"/>
    </w:rPr>
  </w:style>
  <w:style w:type="paragraph" w:styleId="TDC4">
    <w:name w:val="toc 4"/>
    <w:basedOn w:val="Normal"/>
    <w:next w:val="Normal"/>
    <w:autoRedefine/>
    <w:uiPriority w:val="39"/>
    <w:unhideWhenUsed/>
    <w:rsid w:val="00C00BC0"/>
    <w:pPr>
      <w:spacing w:after="0"/>
      <w:ind w:left="660"/>
    </w:pPr>
    <w:rPr>
      <w:sz w:val="18"/>
      <w:szCs w:val="18"/>
    </w:rPr>
  </w:style>
  <w:style w:type="paragraph" w:styleId="TDC5">
    <w:name w:val="toc 5"/>
    <w:basedOn w:val="Normal"/>
    <w:next w:val="Normal"/>
    <w:autoRedefine/>
    <w:uiPriority w:val="39"/>
    <w:unhideWhenUsed/>
    <w:rsid w:val="00C00BC0"/>
    <w:pPr>
      <w:spacing w:after="0"/>
      <w:ind w:left="880"/>
    </w:pPr>
    <w:rPr>
      <w:sz w:val="18"/>
      <w:szCs w:val="18"/>
    </w:rPr>
  </w:style>
  <w:style w:type="paragraph" w:styleId="TDC6">
    <w:name w:val="toc 6"/>
    <w:basedOn w:val="Normal"/>
    <w:next w:val="Normal"/>
    <w:autoRedefine/>
    <w:uiPriority w:val="39"/>
    <w:unhideWhenUsed/>
    <w:rsid w:val="00C00BC0"/>
    <w:pPr>
      <w:spacing w:after="0"/>
      <w:ind w:left="1100"/>
    </w:pPr>
    <w:rPr>
      <w:sz w:val="18"/>
      <w:szCs w:val="18"/>
    </w:rPr>
  </w:style>
  <w:style w:type="paragraph" w:styleId="TDC7">
    <w:name w:val="toc 7"/>
    <w:basedOn w:val="Normal"/>
    <w:next w:val="Normal"/>
    <w:autoRedefine/>
    <w:uiPriority w:val="39"/>
    <w:unhideWhenUsed/>
    <w:rsid w:val="00C00BC0"/>
    <w:pPr>
      <w:spacing w:after="0"/>
      <w:ind w:left="1320"/>
    </w:pPr>
    <w:rPr>
      <w:sz w:val="18"/>
      <w:szCs w:val="18"/>
    </w:rPr>
  </w:style>
  <w:style w:type="paragraph" w:styleId="TDC8">
    <w:name w:val="toc 8"/>
    <w:basedOn w:val="Normal"/>
    <w:next w:val="Normal"/>
    <w:autoRedefine/>
    <w:uiPriority w:val="39"/>
    <w:unhideWhenUsed/>
    <w:rsid w:val="00C00BC0"/>
    <w:pPr>
      <w:spacing w:after="0"/>
      <w:ind w:left="1540"/>
    </w:pPr>
    <w:rPr>
      <w:sz w:val="18"/>
      <w:szCs w:val="18"/>
    </w:rPr>
  </w:style>
  <w:style w:type="paragraph" w:styleId="TDC9">
    <w:name w:val="toc 9"/>
    <w:basedOn w:val="Normal"/>
    <w:next w:val="Normal"/>
    <w:autoRedefine/>
    <w:uiPriority w:val="39"/>
    <w:unhideWhenUsed/>
    <w:rsid w:val="00C00BC0"/>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4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478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F478C"/>
    <w:pPr>
      <w:ind w:left="720"/>
      <w:contextualSpacing/>
    </w:pPr>
  </w:style>
  <w:style w:type="paragraph" w:styleId="Encabezado">
    <w:name w:val="header"/>
    <w:basedOn w:val="Normal"/>
    <w:link w:val="EncabezadoCar"/>
    <w:uiPriority w:val="99"/>
    <w:unhideWhenUsed/>
    <w:rsid w:val="00DA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942"/>
  </w:style>
  <w:style w:type="paragraph" w:styleId="Piedepgina">
    <w:name w:val="footer"/>
    <w:basedOn w:val="Normal"/>
    <w:link w:val="PiedepginaCar"/>
    <w:uiPriority w:val="99"/>
    <w:unhideWhenUsed/>
    <w:rsid w:val="00DA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942"/>
  </w:style>
  <w:style w:type="paragraph" w:styleId="Sinespaciado">
    <w:name w:val="No Spacing"/>
    <w:link w:val="SinespaciadoCar"/>
    <w:uiPriority w:val="1"/>
    <w:qFormat/>
    <w:rsid w:val="00620A8E"/>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20A8E"/>
    <w:rPr>
      <w:rFonts w:eastAsiaTheme="minorEastAsia"/>
      <w:lang w:val="es-ES" w:eastAsia="es-ES"/>
    </w:rPr>
  </w:style>
  <w:style w:type="paragraph" w:styleId="Textodeglobo">
    <w:name w:val="Balloon Text"/>
    <w:basedOn w:val="Normal"/>
    <w:link w:val="TextodegloboCar"/>
    <w:uiPriority w:val="99"/>
    <w:semiHidden/>
    <w:unhideWhenUsed/>
    <w:rsid w:val="00620A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A8E"/>
    <w:rPr>
      <w:rFonts w:ascii="Tahoma" w:hAnsi="Tahoma" w:cs="Tahoma"/>
      <w:sz w:val="16"/>
      <w:szCs w:val="16"/>
    </w:rPr>
  </w:style>
  <w:style w:type="paragraph" w:styleId="TDC2">
    <w:name w:val="toc 2"/>
    <w:basedOn w:val="Normal"/>
    <w:next w:val="Normal"/>
    <w:autoRedefine/>
    <w:uiPriority w:val="39"/>
    <w:unhideWhenUsed/>
    <w:rsid w:val="00553EBB"/>
    <w:pPr>
      <w:spacing w:after="0" w:line="360" w:lineRule="auto"/>
      <w:ind w:left="220"/>
      <w:jc w:val="center"/>
    </w:pPr>
    <w:rPr>
      <w:b/>
      <w:smallCaps/>
      <w:sz w:val="28"/>
    </w:rPr>
  </w:style>
  <w:style w:type="paragraph" w:styleId="TDC1">
    <w:name w:val="toc 1"/>
    <w:basedOn w:val="Normal"/>
    <w:next w:val="Normal"/>
    <w:autoRedefine/>
    <w:uiPriority w:val="39"/>
    <w:unhideWhenUsed/>
    <w:rsid w:val="00620A8E"/>
    <w:pPr>
      <w:spacing w:before="120" w:after="120"/>
    </w:pPr>
    <w:rPr>
      <w:b/>
      <w:bCs/>
      <w:caps/>
      <w:sz w:val="20"/>
      <w:szCs w:val="20"/>
    </w:rPr>
  </w:style>
  <w:style w:type="character" w:styleId="Hipervnculo">
    <w:name w:val="Hyperlink"/>
    <w:basedOn w:val="Fuentedeprrafopredeter"/>
    <w:uiPriority w:val="99"/>
    <w:unhideWhenUsed/>
    <w:rsid w:val="00620A8E"/>
    <w:rPr>
      <w:color w:val="0563C1" w:themeColor="hyperlink"/>
      <w:u w:val="single"/>
    </w:rPr>
  </w:style>
  <w:style w:type="paragraph" w:styleId="TDC3">
    <w:name w:val="toc 3"/>
    <w:basedOn w:val="Normal"/>
    <w:next w:val="Normal"/>
    <w:autoRedefine/>
    <w:uiPriority w:val="39"/>
    <w:unhideWhenUsed/>
    <w:rsid w:val="00C00BC0"/>
    <w:pPr>
      <w:spacing w:after="0"/>
      <w:ind w:left="440"/>
    </w:pPr>
    <w:rPr>
      <w:i/>
      <w:iCs/>
      <w:sz w:val="20"/>
      <w:szCs w:val="20"/>
    </w:rPr>
  </w:style>
  <w:style w:type="paragraph" w:styleId="TDC4">
    <w:name w:val="toc 4"/>
    <w:basedOn w:val="Normal"/>
    <w:next w:val="Normal"/>
    <w:autoRedefine/>
    <w:uiPriority w:val="39"/>
    <w:unhideWhenUsed/>
    <w:rsid w:val="00C00BC0"/>
    <w:pPr>
      <w:spacing w:after="0"/>
      <w:ind w:left="660"/>
    </w:pPr>
    <w:rPr>
      <w:sz w:val="18"/>
      <w:szCs w:val="18"/>
    </w:rPr>
  </w:style>
  <w:style w:type="paragraph" w:styleId="TDC5">
    <w:name w:val="toc 5"/>
    <w:basedOn w:val="Normal"/>
    <w:next w:val="Normal"/>
    <w:autoRedefine/>
    <w:uiPriority w:val="39"/>
    <w:unhideWhenUsed/>
    <w:rsid w:val="00C00BC0"/>
    <w:pPr>
      <w:spacing w:after="0"/>
      <w:ind w:left="880"/>
    </w:pPr>
    <w:rPr>
      <w:sz w:val="18"/>
      <w:szCs w:val="18"/>
    </w:rPr>
  </w:style>
  <w:style w:type="paragraph" w:styleId="TDC6">
    <w:name w:val="toc 6"/>
    <w:basedOn w:val="Normal"/>
    <w:next w:val="Normal"/>
    <w:autoRedefine/>
    <w:uiPriority w:val="39"/>
    <w:unhideWhenUsed/>
    <w:rsid w:val="00C00BC0"/>
    <w:pPr>
      <w:spacing w:after="0"/>
      <w:ind w:left="1100"/>
    </w:pPr>
    <w:rPr>
      <w:sz w:val="18"/>
      <w:szCs w:val="18"/>
    </w:rPr>
  </w:style>
  <w:style w:type="paragraph" w:styleId="TDC7">
    <w:name w:val="toc 7"/>
    <w:basedOn w:val="Normal"/>
    <w:next w:val="Normal"/>
    <w:autoRedefine/>
    <w:uiPriority w:val="39"/>
    <w:unhideWhenUsed/>
    <w:rsid w:val="00C00BC0"/>
    <w:pPr>
      <w:spacing w:after="0"/>
      <w:ind w:left="1320"/>
    </w:pPr>
    <w:rPr>
      <w:sz w:val="18"/>
      <w:szCs w:val="18"/>
    </w:rPr>
  </w:style>
  <w:style w:type="paragraph" w:styleId="TDC8">
    <w:name w:val="toc 8"/>
    <w:basedOn w:val="Normal"/>
    <w:next w:val="Normal"/>
    <w:autoRedefine/>
    <w:uiPriority w:val="39"/>
    <w:unhideWhenUsed/>
    <w:rsid w:val="00C00BC0"/>
    <w:pPr>
      <w:spacing w:after="0"/>
      <w:ind w:left="1540"/>
    </w:pPr>
    <w:rPr>
      <w:sz w:val="18"/>
      <w:szCs w:val="18"/>
    </w:rPr>
  </w:style>
  <w:style w:type="paragraph" w:styleId="TDC9">
    <w:name w:val="toc 9"/>
    <w:basedOn w:val="Normal"/>
    <w:next w:val="Normal"/>
    <w:autoRedefine/>
    <w:uiPriority w:val="39"/>
    <w:unhideWhenUsed/>
    <w:rsid w:val="00C00BC0"/>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A0C17619294A70B55336DC19205F48"/>
        <w:category>
          <w:name w:val="General"/>
          <w:gallery w:val="placeholder"/>
        </w:category>
        <w:types>
          <w:type w:val="bbPlcHdr"/>
        </w:types>
        <w:behaviors>
          <w:behavior w:val="content"/>
        </w:behaviors>
        <w:guid w:val="{35AAC1C1-7D8D-4F50-B620-35F35894FF36}"/>
      </w:docPartPr>
      <w:docPartBody>
        <w:p w:rsidR="00B525D2" w:rsidRDefault="00B95E87" w:rsidP="00B95E87">
          <w:pPr>
            <w:pStyle w:val="E7A0C17619294A70B55336DC19205F48"/>
          </w:pPr>
          <w:r>
            <w:rPr>
              <w:rFonts w:asciiTheme="majorHAnsi" w:eastAsiaTheme="majorEastAsia" w:hAnsiTheme="majorHAnsi" w:cstheme="majorBidi"/>
              <w:sz w:val="72"/>
              <w:szCs w:val="7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7"/>
    <w:rsid w:val="001C554F"/>
    <w:rsid w:val="00B525D2"/>
    <w:rsid w:val="00B95E87"/>
    <w:rsid w:val="00E61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A0C17619294A70B55336DC19205F48">
    <w:name w:val="E7A0C17619294A70B55336DC19205F48"/>
    <w:rsid w:val="00B95E87"/>
  </w:style>
  <w:style w:type="paragraph" w:customStyle="1" w:styleId="1A754CEEA13F4615964D0B01F18D34E9">
    <w:name w:val="1A754CEEA13F4615964D0B01F18D34E9"/>
    <w:rsid w:val="00B95E87"/>
  </w:style>
  <w:style w:type="paragraph" w:customStyle="1" w:styleId="13414B00C9644888A5BFBFE37366349A">
    <w:name w:val="13414B00C9644888A5BFBFE37366349A"/>
    <w:rsid w:val="00B95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A0C17619294A70B55336DC19205F48">
    <w:name w:val="E7A0C17619294A70B55336DC19205F48"/>
    <w:rsid w:val="00B95E87"/>
  </w:style>
  <w:style w:type="paragraph" w:customStyle="1" w:styleId="1A754CEEA13F4615964D0B01F18D34E9">
    <w:name w:val="1A754CEEA13F4615964D0B01F18D34E9"/>
    <w:rsid w:val="00B95E87"/>
  </w:style>
  <w:style w:type="paragraph" w:customStyle="1" w:styleId="13414B00C9644888A5BFBFE37366349A">
    <w:name w:val="13414B00C9644888A5BFBFE37366349A"/>
    <w:rsid w:val="00B9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F0C2-60EC-4CC6-B232-B205F7FD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3136</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Informe de Fin de Gestión</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Fin de Gestión</dc:title>
  <dc:subject>Luis Valverde Ramírez</dc:subject>
  <dc:creator>Ex Asesor de la Intendencia de Agua de Aresep                    20 de Mayo de 2016</dc:creator>
  <cp:lastModifiedBy>Norma Virginia Cruz Ruiz</cp:lastModifiedBy>
  <cp:revision>30</cp:revision>
  <cp:lastPrinted>2016-05-19T20:01:00Z</cp:lastPrinted>
  <dcterms:created xsi:type="dcterms:W3CDTF">2016-05-19T15:44:00Z</dcterms:created>
  <dcterms:modified xsi:type="dcterms:W3CDTF">2016-05-20T00:20:00Z</dcterms:modified>
</cp:coreProperties>
</file>