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2E" w:rsidRPr="00881853" w:rsidRDefault="00590A2E" w:rsidP="008830B1">
      <w:pPr>
        <w:ind w:right="199"/>
        <w:jc w:val="center"/>
        <w:rPr>
          <w:rFonts w:ascii="Arial" w:hAnsi="Arial" w:cs="Arial"/>
          <w:b/>
          <w:sz w:val="20"/>
          <w:szCs w:val="20"/>
        </w:rPr>
      </w:pPr>
      <w:bookmarkStart w:id="0" w:name="_GoBack"/>
      <w:bookmarkEnd w:id="0"/>
    </w:p>
    <w:p w:rsidR="008830B1" w:rsidRPr="00881853" w:rsidRDefault="007B44BD" w:rsidP="008830B1">
      <w:pPr>
        <w:ind w:right="199"/>
        <w:jc w:val="center"/>
        <w:rPr>
          <w:rFonts w:ascii="Arial" w:hAnsi="Arial" w:cs="Arial"/>
          <w:b/>
          <w:sz w:val="20"/>
          <w:szCs w:val="20"/>
        </w:rPr>
      </w:pPr>
      <w:r w:rsidRPr="00881853">
        <w:rPr>
          <w:rFonts w:ascii="Arial" w:hAnsi="Arial" w:cs="Arial"/>
          <w:b/>
          <w:sz w:val="20"/>
          <w:szCs w:val="20"/>
        </w:rPr>
        <w:t>RESOLUCION RJD-</w:t>
      </w:r>
      <w:r w:rsidR="009C151B" w:rsidRPr="00881853">
        <w:rPr>
          <w:rFonts w:ascii="Arial" w:hAnsi="Arial" w:cs="Arial"/>
          <w:b/>
          <w:sz w:val="20"/>
          <w:szCs w:val="20"/>
        </w:rPr>
        <w:t>141</w:t>
      </w:r>
      <w:r w:rsidRPr="00881853">
        <w:rPr>
          <w:rFonts w:ascii="Arial" w:hAnsi="Arial" w:cs="Arial"/>
          <w:b/>
          <w:sz w:val="20"/>
          <w:szCs w:val="20"/>
        </w:rPr>
        <w:t>-201</w:t>
      </w:r>
      <w:r w:rsidR="004C5090" w:rsidRPr="00881853">
        <w:rPr>
          <w:rFonts w:ascii="Arial" w:hAnsi="Arial" w:cs="Arial"/>
          <w:b/>
          <w:sz w:val="20"/>
          <w:szCs w:val="20"/>
        </w:rPr>
        <w:t>2</w:t>
      </w:r>
    </w:p>
    <w:p w:rsidR="004D27F3" w:rsidRPr="00881853" w:rsidRDefault="004D27F3" w:rsidP="008830B1">
      <w:pPr>
        <w:ind w:right="199"/>
        <w:jc w:val="center"/>
        <w:rPr>
          <w:rFonts w:ascii="Arial" w:hAnsi="Arial" w:cs="Arial"/>
          <w:b/>
          <w:sz w:val="20"/>
          <w:szCs w:val="20"/>
        </w:rPr>
      </w:pPr>
    </w:p>
    <w:p w:rsidR="004D27F3" w:rsidRPr="00881853" w:rsidRDefault="004D27F3" w:rsidP="004D27F3">
      <w:pPr>
        <w:ind w:right="199"/>
        <w:jc w:val="center"/>
        <w:rPr>
          <w:rFonts w:ascii="Arial" w:hAnsi="Arial" w:cs="Arial"/>
          <w:b/>
          <w:sz w:val="20"/>
          <w:szCs w:val="20"/>
        </w:rPr>
      </w:pPr>
      <w:r w:rsidRPr="00881853">
        <w:rPr>
          <w:rFonts w:ascii="Arial" w:hAnsi="Arial" w:cs="Arial"/>
          <w:b/>
          <w:sz w:val="20"/>
          <w:szCs w:val="20"/>
        </w:rPr>
        <w:t xml:space="preserve">SAN JOSÉ, A LAS </w:t>
      </w:r>
      <w:r w:rsidR="009C151B" w:rsidRPr="00881853">
        <w:rPr>
          <w:rFonts w:ascii="Arial" w:hAnsi="Arial" w:cs="Arial"/>
          <w:b/>
          <w:sz w:val="20"/>
          <w:szCs w:val="20"/>
        </w:rPr>
        <w:t xml:space="preserve">QUINCE </w:t>
      </w:r>
      <w:r w:rsidRPr="00881853">
        <w:rPr>
          <w:rFonts w:ascii="Arial" w:hAnsi="Arial" w:cs="Arial"/>
          <w:b/>
          <w:sz w:val="20"/>
          <w:szCs w:val="20"/>
        </w:rPr>
        <w:t xml:space="preserve">HORAS DEL </w:t>
      </w:r>
      <w:r w:rsidR="009C151B" w:rsidRPr="00881853">
        <w:rPr>
          <w:rFonts w:ascii="Arial" w:hAnsi="Arial" w:cs="Arial"/>
          <w:b/>
          <w:sz w:val="20"/>
          <w:szCs w:val="20"/>
        </w:rPr>
        <w:t xml:space="preserve">CATORCE </w:t>
      </w:r>
      <w:r w:rsidRPr="00881853">
        <w:rPr>
          <w:rFonts w:ascii="Arial" w:hAnsi="Arial" w:cs="Arial"/>
          <w:b/>
          <w:sz w:val="20"/>
          <w:szCs w:val="20"/>
        </w:rPr>
        <w:t xml:space="preserve">DE </w:t>
      </w:r>
      <w:r w:rsidR="00353125" w:rsidRPr="00881853">
        <w:rPr>
          <w:rFonts w:ascii="Arial" w:hAnsi="Arial" w:cs="Arial"/>
          <w:b/>
          <w:sz w:val="20"/>
          <w:szCs w:val="20"/>
        </w:rPr>
        <w:t>NOVIEMBRE</w:t>
      </w:r>
      <w:r w:rsidRPr="00881853">
        <w:rPr>
          <w:rFonts w:ascii="Arial" w:hAnsi="Arial" w:cs="Arial"/>
          <w:b/>
          <w:sz w:val="20"/>
          <w:szCs w:val="20"/>
        </w:rPr>
        <w:t xml:space="preserve"> DEL DOS MIL </w:t>
      </w:r>
      <w:r w:rsidR="00353125" w:rsidRPr="00881853">
        <w:rPr>
          <w:rFonts w:ascii="Arial" w:hAnsi="Arial" w:cs="Arial"/>
          <w:b/>
          <w:sz w:val="20"/>
          <w:szCs w:val="20"/>
        </w:rPr>
        <w:t>DOCE</w:t>
      </w:r>
    </w:p>
    <w:p w:rsidR="00F66A8F" w:rsidRPr="00881853" w:rsidRDefault="00F66A8F" w:rsidP="008830B1">
      <w:pPr>
        <w:ind w:right="199"/>
        <w:jc w:val="center"/>
        <w:rPr>
          <w:rFonts w:ascii="Arial" w:hAnsi="Arial" w:cs="Arial"/>
          <w:b/>
          <w:sz w:val="20"/>
          <w:szCs w:val="20"/>
        </w:rPr>
      </w:pPr>
    </w:p>
    <w:p w:rsidR="008830B1" w:rsidRPr="00881853" w:rsidRDefault="00157C50" w:rsidP="008830B1">
      <w:pPr>
        <w:ind w:right="199"/>
        <w:jc w:val="center"/>
        <w:rPr>
          <w:rFonts w:ascii="Arial" w:hAnsi="Arial" w:cs="Arial"/>
          <w:b/>
          <w:sz w:val="20"/>
          <w:szCs w:val="20"/>
          <w:lang w:eastAsia="en-US"/>
        </w:rPr>
      </w:pPr>
      <w:r w:rsidRPr="00881853">
        <w:rPr>
          <w:rFonts w:ascii="Arial" w:hAnsi="Arial" w:cs="Arial"/>
          <w:b/>
          <w:sz w:val="20"/>
          <w:szCs w:val="20"/>
          <w:lang w:eastAsia="en-US"/>
        </w:rPr>
        <w:t xml:space="preserve">SE CORRIGE </w:t>
      </w:r>
      <w:r w:rsidR="00F66A8F" w:rsidRPr="00881853">
        <w:rPr>
          <w:rFonts w:ascii="Arial" w:hAnsi="Arial" w:cs="Arial"/>
          <w:b/>
          <w:sz w:val="20"/>
          <w:szCs w:val="20"/>
          <w:lang w:eastAsia="en-US"/>
        </w:rPr>
        <w:t xml:space="preserve">ERROR MATERIAL </w:t>
      </w:r>
      <w:r w:rsidRPr="00881853">
        <w:rPr>
          <w:rFonts w:ascii="Arial" w:hAnsi="Arial" w:cs="Arial"/>
          <w:b/>
          <w:sz w:val="20"/>
          <w:szCs w:val="20"/>
          <w:lang w:eastAsia="en-US"/>
        </w:rPr>
        <w:t xml:space="preserve">EN </w:t>
      </w:r>
      <w:r w:rsidR="00F66A8F" w:rsidRPr="00881853">
        <w:rPr>
          <w:rFonts w:ascii="Arial" w:hAnsi="Arial" w:cs="Arial"/>
          <w:b/>
          <w:sz w:val="20"/>
          <w:szCs w:val="20"/>
          <w:lang w:eastAsia="en-US"/>
        </w:rPr>
        <w:t xml:space="preserve">RESOLUCIÓN </w:t>
      </w:r>
      <w:r w:rsidR="00353125" w:rsidRPr="00881853">
        <w:rPr>
          <w:rFonts w:ascii="Arial" w:hAnsi="Arial" w:cs="Arial"/>
          <w:b/>
          <w:bCs/>
          <w:sz w:val="20"/>
          <w:szCs w:val="20"/>
        </w:rPr>
        <w:t>RJD-1</w:t>
      </w:r>
      <w:r w:rsidR="00F66A8F" w:rsidRPr="00881853">
        <w:rPr>
          <w:rFonts w:ascii="Arial" w:hAnsi="Arial" w:cs="Arial"/>
          <w:b/>
          <w:bCs/>
          <w:sz w:val="20"/>
          <w:szCs w:val="20"/>
        </w:rPr>
        <w:t>2</w:t>
      </w:r>
      <w:r w:rsidR="00353125" w:rsidRPr="00881853">
        <w:rPr>
          <w:rFonts w:ascii="Arial" w:hAnsi="Arial" w:cs="Arial"/>
          <w:b/>
          <w:bCs/>
          <w:sz w:val="20"/>
          <w:szCs w:val="20"/>
        </w:rPr>
        <w:t>0</w:t>
      </w:r>
      <w:r w:rsidR="00F66A8F" w:rsidRPr="00881853">
        <w:rPr>
          <w:rFonts w:ascii="Arial" w:hAnsi="Arial" w:cs="Arial"/>
          <w:b/>
          <w:bCs/>
          <w:sz w:val="20"/>
          <w:szCs w:val="20"/>
        </w:rPr>
        <w:t>-201</w:t>
      </w:r>
      <w:r w:rsidR="00353125" w:rsidRPr="00881853">
        <w:rPr>
          <w:rFonts w:ascii="Arial" w:hAnsi="Arial" w:cs="Arial"/>
          <w:b/>
          <w:bCs/>
          <w:sz w:val="20"/>
          <w:szCs w:val="20"/>
        </w:rPr>
        <w:t>2</w:t>
      </w:r>
      <w:r w:rsidR="00F66A8F" w:rsidRPr="00881853">
        <w:rPr>
          <w:rFonts w:ascii="Arial" w:hAnsi="Arial" w:cs="Arial"/>
          <w:b/>
          <w:sz w:val="20"/>
          <w:szCs w:val="20"/>
          <w:lang w:eastAsia="en-US"/>
        </w:rPr>
        <w:t>,</w:t>
      </w:r>
      <w:r w:rsidR="004D27F3" w:rsidRPr="00881853">
        <w:rPr>
          <w:rFonts w:ascii="Arial" w:hAnsi="Arial" w:cs="Arial"/>
          <w:b/>
          <w:sz w:val="20"/>
          <w:szCs w:val="20"/>
          <w:lang w:eastAsia="en-US"/>
        </w:rPr>
        <w:t xml:space="preserve"> DE LAS 1</w:t>
      </w:r>
      <w:r w:rsidR="00353125" w:rsidRPr="00881853">
        <w:rPr>
          <w:rFonts w:ascii="Arial" w:hAnsi="Arial" w:cs="Arial"/>
          <w:b/>
          <w:sz w:val="20"/>
          <w:szCs w:val="20"/>
          <w:lang w:eastAsia="en-US"/>
        </w:rPr>
        <w:t>5</w:t>
      </w:r>
      <w:r w:rsidR="004D27F3" w:rsidRPr="00881853">
        <w:rPr>
          <w:rFonts w:ascii="Arial" w:hAnsi="Arial" w:cs="Arial"/>
          <w:b/>
          <w:sz w:val="20"/>
          <w:szCs w:val="20"/>
          <w:lang w:eastAsia="en-US"/>
        </w:rPr>
        <w:t>:</w:t>
      </w:r>
      <w:r w:rsidR="00353125" w:rsidRPr="00881853">
        <w:rPr>
          <w:rFonts w:ascii="Arial" w:hAnsi="Arial" w:cs="Arial"/>
          <w:b/>
          <w:sz w:val="20"/>
          <w:szCs w:val="20"/>
          <w:lang w:eastAsia="en-US"/>
        </w:rPr>
        <w:t xml:space="preserve">00 DEL </w:t>
      </w:r>
      <w:r w:rsidR="004D27F3" w:rsidRPr="00881853">
        <w:rPr>
          <w:rFonts w:ascii="Arial" w:hAnsi="Arial" w:cs="Arial"/>
          <w:b/>
          <w:sz w:val="20"/>
          <w:szCs w:val="20"/>
          <w:lang w:eastAsia="en-US"/>
        </w:rPr>
        <w:t>0</w:t>
      </w:r>
      <w:r w:rsidR="00353125" w:rsidRPr="00881853">
        <w:rPr>
          <w:rFonts w:ascii="Arial" w:hAnsi="Arial" w:cs="Arial"/>
          <w:b/>
          <w:sz w:val="20"/>
          <w:szCs w:val="20"/>
          <w:lang w:eastAsia="en-US"/>
        </w:rPr>
        <w:t>5</w:t>
      </w:r>
      <w:r w:rsidR="004D27F3" w:rsidRPr="00881853">
        <w:rPr>
          <w:rFonts w:ascii="Arial" w:hAnsi="Arial" w:cs="Arial"/>
          <w:b/>
          <w:sz w:val="20"/>
          <w:szCs w:val="20"/>
          <w:lang w:eastAsia="en-US"/>
        </w:rPr>
        <w:t xml:space="preserve"> DE </w:t>
      </w:r>
      <w:r w:rsidR="00353125" w:rsidRPr="00881853">
        <w:rPr>
          <w:rFonts w:ascii="Arial" w:hAnsi="Arial" w:cs="Arial"/>
          <w:b/>
          <w:sz w:val="20"/>
          <w:szCs w:val="20"/>
          <w:lang w:eastAsia="en-US"/>
        </w:rPr>
        <w:t>NOVIEMBRE DEL 2012</w:t>
      </w:r>
    </w:p>
    <w:p w:rsidR="00F66A8F" w:rsidRPr="00881853" w:rsidRDefault="00F66A8F" w:rsidP="004D27F3">
      <w:pPr>
        <w:pBdr>
          <w:bottom w:val="single" w:sz="4" w:space="1" w:color="auto"/>
        </w:pBdr>
        <w:ind w:right="199"/>
        <w:jc w:val="center"/>
        <w:rPr>
          <w:rFonts w:ascii="Arial" w:hAnsi="Arial" w:cs="Arial"/>
          <w:b/>
          <w:sz w:val="20"/>
          <w:szCs w:val="20"/>
        </w:rPr>
      </w:pPr>
    </w:p>
    <w:p w:rsidR="00F66A8F" w:rsidRPr="00881853" w:rsidRDefault="00F66A8F" w:rsidP="00F66A8F">
      <w:pPr>
        <w:ind w:right="335"/>
        <w:jc w:val="center"/>
        <w:rPr>
          <w:rFonts w:ascii="Arial" w:hAnsi="Arial" w:cs="Arial"/>
          <w:b/>
          <w:sz w:val="20"/>
          <w:szCs w:val="20"/>
        </w:rPr>
      </w:pPr>
      <w:r w:rsidRPr="00881853">
        <w:rPr>
          <w:rFonts w:ascii="Arial" w:hAnsi="Arial" w:cs="Arial"/>
          <w:b/>
          <w:sz w:val="20"/>
          <w:szCs w:val="20"/>
          <w:lang w:val="fr-FR"/>
        </w:rPr>
        <w:t>EXPEDIENTE</w:t>
      </w:r>
      <w:r w:rsidRPr="00881853">
        <w:rPr>
          <w:rFonts w:ascii="Arial" w:hAnsi="Arial" w:cs="Arial"/>
          <w:b/>
          <w:sz w:val="20"/>
          <w:szCs w:val="20"/>
        </w:rPr>
        <w:t xml:space="preserve"> OT-</w:t>
      </w:r>
      <w:r w:rsidR="00353125" w:rsidRPr="00881853">
        <w:rPr>
          <w:rFonts w:ascii="Arial" w:hAnsi="Arial" w:cs="Arial"/>
          <w:b/>
          <w:sz w:val="20"/>
          <w:szCs w:val="20"/>
        </w:rPr>
        <w:t>109</w:t>
      </w:r>
      <w:r w:rsidRPr="00881853">
        <w:rPr>
          <w:rFonts w:ascii="Arial" w:hAnsi="Arial" w:cs="Arial"/>
          <w:b/>
          <w:sz w:val="20"/>
          <w:szCs w:val="20"/>
        </w:rPr>
        <w:t>-201</w:t>
      </w:r>
      <w:r w:rsidR="00353125" w:rsidRPr="00881853">
        <w:rPr>
          <w:rFonts w:ascii="Arial" w:hAnsi="Arial" w:cs="Arial"/>
          <w:b/>
          <w:sz w:val="20"/>
          <w:szCs w:val="20"/>
        </w:rPr>
        <w:t>2</w:t>
      </w:r>
    </w:p>
    <w:p w:rsidR="008830B1" w:rsidRPr="00881853" w:rsidRDefault="008830B1" w:rsidP="008830B1">
      <w:pPr>
        <w:ind w:right="199"/>
        <w:jc w:val="center"/>
        <w:rPr>
          <w:rFonts w:ascii="Arial" w:hAnsi="Arial" w:cs="Arial"/>
          <w:b/>
          <w:sz w:val="20"/>
          <w:szCs w:val="20"/>
        </w:rPr>
      </w:pPr>
    </w:p>
    <w:p w:rsidR="00881853" w:rsidRPr="00881853" w:rsidRDefault="00881853" w:rsidP="00881853">
      <w:pPr>
        <w:ind w:right="199"/>
        <w:jc w:val="center"/>
        <w:rPr>
          <w:rFonts w:ascii="Arial" w:hAnsi="Arial" w:cs="Arial"/>
          <w:b/>
          <w:sz w:val="20"/>
          <w:szCs w:val="20"/>
        </w:rPr>
      </w:pPr>
      <w:r w:rsidRPr="00881853">
        <w:rPr>
          <w:rFonts w:ascii="Arial" w:hAnsi="Arial" w:cs="Arial"/>
          <w:b/>
          <w:sz w:val="20"/>
          <w:szCs w:val="20"/>
        </w:rPr>
        <w:t>CONSIDERANDO:</w:t>
      </w:r>
    </w:p>
    <w:p w:rsidR="00881853" w:rsidRPr="00881853" w:rsidRDefault="00881853" w:rsidP="00881853">
      <w:pPr>
        <w:ind w:right="199"/>
        <w:jc w:val="center"/>
        <w:rPr>
          <w:rFonts w:ascii="Arial" w:hAnsi="Arial" w:cs="Arial"/>
          <w:b/>
          <w:sz w:val="20"/>
          <w:szCs w:val="20"/>
        </w:rPr>
      </w:pPr>
    </w:p>
    <w:p w:rsidR="00881853" w:rsidRPr="00881853" w:rsidRDefault="00881853" w:rsidP="00881853">
      <w:pPr>
        <w:numPr>
          <w:ilvl w:val="0"/>
          <w:numId w:val="3"/>
        </w:numPr>
        <w:ind w:right="199"/>
        <w:jc w:val="both"/>
        <w:rPr>
          <w:rFonts w:ascii="Arial" w:hAnsi="Arial" w:cs="Arial"/>
          <w:sz w:val="20"/>
          <w:szCs w:val="20"/>
        </w:rPr>
      </w:pPr>
      <w:r w:rsidRPr="00881853">
        <w:rPr>
          <w:rFonts w:ascii="Arial" w:hAnsi="Arial" w:cs="Arial"/>
          <w:sz w:val="20"/>
          <w:szCs w:val="20"/>
        </w:rPr>
        <w:t xml:space="preserve">Que mediante la resolución </w:t>
      </w:r>
      <w:r w:rsidRPr="00881853">
        <w:rPr>
          <w:rFonts w:ascii="Arial" w:hAnsi="Arial" w:cs="Arial"/>
          <w:bCs/>
          <w:sz w:val="20"/>
          <w:szCs w:val="20"/>
        </w:rPr>
        <w:t>RJD-120-2012</w:t>
      </w:r>
      <w:r w:rsidRPr="00881853">
        <w:rPr>
          <w:rFonts w:ascii="Arial" w:hAnsi="Arial" w:cs="Arial"/>
          <w:b/>
          <w:bCs/>
          <w:sz w:val="20"/>
          <w:szCs w:val="20"/>
        </w:rPr>
        <w:t xml:space="preserve"> </w:t>
      </w:r>
      <w:r w:rsidRPr="00881853">
        <w:rPr>
          <w:rFonts w:ascii="Arial" w:hAnsi="Arial" w:cs="Arial"/>
          <w:sz w:val="20"/>
          <w:szCs w:val="20"/>
        </w:rPr>
        <w:t>de las 15:00 horas del 05 de noviembre de 2012, publicada en el Alcance Digital N°174 a La Gaceta N° 214 del 06 de noviembre de 2012, esta Junta Directiva estableció el “Modelo de Ajuste Extraordinario para el Servicio de Transporte Remunerado de Personas Modalidad Autobús”.</w:t>
      </w:r>
    </w:p>
    <w:p w:rsidR="00881853" w:rsidRPr="00881853" w:rsidRDefault="00881853" w:rsidP="00881853">
      <w:pPr>
        <w:ind w:left="180" w:right="199"/>
        <w:jc w:val="both"/>
        <w:rPr>
          <w:rFonts w:ascii="Arial" w:hAnsi="Arial" w:cs="Arial"/>
          <w:sz w:val="20"/>
          <w:szCs w:val="20"/>
        </w:rPr>
      </w:pPr>
    </w:p>
    <w:p w:rsidR="00881853" w:rsidRPr="00881853" w:rsidRDefault="00881853" w:rsidP="00881853">
      <w:pPr>
        <w:numPr>
          <w:ilvl w:val="0"/>
          <w:numId w:val="3"/>
        </w:numPr>
        <w:ind w:right="199"/>
        <w:jc w:val="both"/>
        <w:rPr>
          <w:rFonts w:ascii="Arial" w:hAnsi="Arial" w:cs="Arial"/>
          <w:sz w:val="20"/>
          <w:szCs w:val="20"/>
        </w:rPr>
      </w:pPr>
      <w:r w:rsidRPr="00881853">
        <w:rPr>
          <w:rFonts w:ascii="Arial" w:hAnsi="Arial" w:cs="Arial"/>
          <w:sz w:val="20"/>
          <w:szCs w:val="20"/>
        </w:rPr>
        <w:t xml:space="preserve">Que mediante oficio 126-CDR-2012, del 13 de noviembre de 2012, la Dirección General Centro de Desarrollo de la Regulación (CDR), recomendó corregir ciertos errores materiales identificados </w:t>
      </w:r>
      <w:r w:rsidRPr="00881853">
        <w:rPr>
          <w:rFonts w:ascii="Arial" w:hAnsi="Arial" w:cs="Arial"/>
          <w:color w:val="000000"/>
          <w:sz w:val="20"/>
          <w:szCs w:val="20"/>
          <w:lang w:val="es-ES_tradnl"/>
        </w:rPr>
        <w:t>en la parte considerativa y en el “Por Tanto I” de la resolución</w:t>
      </w:r>
      <w:r w:rsidRPr="00881853">
        <w:rPr>
          <w:rFonts w:ascii="Arial" w:hAnsi="Arial" w:cs="Arial"/>
          <w:bCs/>
          <w:sz w:val="20"/>
          <w:szCs w:val="20"/>
        </w:rPr>
        <w:t xml:space="preserve"> RJD-120-2012</w:t>
      </w:r>
      <w:r w:rsidRPr="00881853">
        <w:rPr>
          <w:rFonts w:ascii="Arial" w:hAnsi="Arial" w:cs="Arial"/>
          <w:sz w:val="20"/>
          <w:szCs w:val="20"/>
        </w:rPr>
        <w:t xml:space="preserve">. De ese oficio se extrae lo siguiente: </w:t>
      </w:r>
    </w:p>
    <w:p w:rsidR="00881853" w:rsidRPr="00881853" w:rsidRDefault="00881853" w:rsidP="00881853">
      <w:pPr>
        <w:ind w:left="180" w:right="199"/>
        <w:jc w:val="both"/>
        <w:rPr>
          <w:rFonts w:ascii="Arial" w:hAnsi="Arial" w:cs="Arial"/>
          <w:sz w:val="20"/>
          <w:szCs w:val="20"/>
        </w:rPr>
      </w:pPr>
    </w:p>
    <w:p w:rsidR="00881853" w:rsidRPr="00881853" w:rsidRDefault="00881853" w:rsidP="00881853">
      <w:pPr>
        <w:ind w:left="709"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“Los errores aludidos tienen una causa común, que consiste en que no se cambiaron las referencias a las secciones incluidas en distintos lugares del informe técnico en que se fundamenta la resolución, para hacerlas coherentes con la numeración de las secciones de la resolución.  Así por ejemplo, en la versión de la resolución que quedó aprobada se establece que el procedimiento de fijación tarifaria por primera vez es el que se encuentra en la sección 4.3 ─la cual no existe en la resolución─, cuando la referencia correcta habría sido a la sección 2.3.</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ind w:left="709"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A continuación se indica la forma de corregir los errores materiales:</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2"/>
        </w:numPr>
        <w:ind w:right="282"/>
        <w:contextualSpacing/>
        <w:jc w:val="both"/>
        <w:rPr>
          <w:rFonts w:ascii="Arial" w:hAnsi="Arial" w:cs="Arial"/>
          <w:b/>
          <w:i/>
          <w:color w:val="000000"/>
          <w:sz w:val="20"/>
          <w:szCs w:val="20"/>
          <w:lang w:val="es-ES_tradnl"/>
        </w:rPr>
      </w:pPr>
      <w:r w:rsidRPr="00881853">
        <w:rPr>
          <w:rFonts w:ascii="Arial" w:hAnsi="Arial" w:cs="Arial"/>
          <w:b/>
          <w:i/>
          <w:color w:val="000000"/>
          <w:sz w:val="20"/>
          <w:szCs w:val="20"/>
          <w:lang w:val="es-ES_tradnl"/>
        </w:rPr>
        <w:t>En la sección 4. Audiencias Públicas, la cual se transcribe en el “Considerando III”:</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Audiencias Públicas, párrafo cuarto: en lugar de la referencia a la sección que se consignó erróneamente, léase correctamente: “sección 3.10.a”.</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c. de la Defensoría de los Habitantes, párrafo final: en lugar de la referencia a la sección que se consignó erróneamente, léase correctamente: “sección 3.10.a”.</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d. de la Defensoría de los Habitantes, párrafo final, segunda y sétima línea: en lugar de la referencia a la sección que se consignó erróneamente, léase correctamente: “sección 3.9”.</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d. de la Defensoría de los Habitantes, párrafo segundo: en lugar de la referencia a la sección que se consignó erróneamente, léase correctamente: “sección 3.9”.</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e. de la Defensoría de los Habitantes, párrafo cuarto: en lugar de la referencia a la sección que se consignó erróneamente, léase correctamente: “sección 3.10”.</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f. del Consejero del Usuario, párrafo final: en lugar de la referencia a la sección que se consignó erróneamente, léase correctamente: “sección 3.10.a”.</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f. del Consejero del Usuario, párrafo tercero: en lugar de la referencia a la sección que se consignó erróneamente, léase correctamente: “sección 3.10”.</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b. del Foro Nacional de Transporte Público Modalidad Autobús, párrafo primero: en lugar de la referencia a la sección que se consignó erróneamente, léase correctamente: “sección 3.9”.</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d. del Foro Nacional de Transporte Público Modalidad Autobús, párrafo segundo: en lugar de la referencia a la sección que se consignó erróneamente, léase correctamente: “sección 3.10.a”.</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c. de la Defensoría de los Habitantes, párrafo cuarto: en lugar de la referencia a la sección que se consignó erróneamente, léase correctamente: “sección 3.10.a”.</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d. de la Defensoría de los Habitantes, párrafo segundo, segunda y sétima línea: en lugar de la referencia a la sección que se consignó erróneamente, léase correctamente: “sección 3.9”.</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d. de la Defensoría de los Habitantes, párrafo cuarto: en lugar de la referencia a la sección que se consignó erróneamente, léase correctamente: “sección 3.9”.</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e. de la Defensoría de los Habitantes, párrafo primero: en lugar de la referencia a la sección que se consignó erróneamente, léase correctamente: “sección 3.10”.</w:t>
      </w:r>
    </w:p>
    <w:p w:rsidR="00881853" w:rsidRPr="00881853" w:rsidRDefault="00881853" w:rsidP="00881853">
      <w:pPr>
        <w:ind w:left="720"/>
        <w:contextualSpacing/>
        <w:jc w:val="both"/>
        <w:rPr>
          <w:rFonts w:ascii="Arial" w:hAnsi="Arial" w:cs="Arial"/>
          <w:i/>
          <w:color w:val="000000"/>
          <w:sz w:val="20"/>
          <w:szCs w:val="20"/>
          <w:highlight w:val="yellow"/>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g. del Consejero del Usuario, párrafo tercero: en lugar de la referencia a la sección que se consignó erróneamente, léase correctamente: “sección 3.10.a”.</w:t>
      </w:r>
    </w:p>
    <w:p w:rsidR="00881853" w:rsidRPr="00881853" w:rsidRDefault="00881853" w:rsidP="00881853">
      <w:pPr>
        <w:ind w:left="720"/>
        <w:contextualSpacing/>
        <w:jc w:val="both"/>
        <w:rPr>
          <w:rFonts w:ascii="Arial" w:hAnsi="Arial" w:cs="Arial"/>
          <w:i/>
          <w:color w:val="000000"/>
          <w:sz w:val="20"/>
          <w:szCs w:val="20"/>
          <w:highlight w:val="yellow"/>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g. del señor Leonardo Déreck Meneses Soto, párrafo cinco: en lugar de la referencia a la sección que se consignó erróneamente, léase correctamente: “sección 3.9”.</w:t>
      </w:r>
    </w:p>
    <w:p w:rsidR="00881853" w:rsidRPr="00881853" w:rsidRDefault="00881853" w:rsidP="00881853">
      <w:pPr>
        <w:ind w:left="720"/>
        <w:contextualSpacing/>
        <w:jc w:val="both"/>
        <w:rPr>
          <w:rFonts w:ascii="Arial" w:hAnsi="Arial" w:cs="Arial"/>
          <w:i/>
          <w:color w:val="000000"/>
          <w:sz w:val="20"/>
          <w:szCs w:val="20"/>
          <w:highlight w:val="yellow"/>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Respuesta a Posición f. del señor Enrique Chaves Sanabria, párrafo sexto, primera línea: en lugar de la referencia a la “… sección 2 Justificación…” que se consignó erróneamente, léase correctamente: “… sección Justificación… ”.</w:t>
      </w:r>
    </w:p>
    <w:p w:rsidR="00881853" w:rsidRPr="00881853" w:rsidRDefault="00881853" w:rsidP="00881853">
      <w:pPr>
        <w:ind w:left="720" w:right="282"/>
        <w:contextualSpacing/>
        <w:jc w:val="both"/>
        <w:rPr>
          <w:rFonts w:ascii="Arial" w:hAnsi="Arial" w:cs="Arial"/>
          <w:i/>
          <w:color w:val="000000"/>
          <w:sz w:val="20"/>
          <w:szCs w:val="20"/>
          <w:highlight w:val="yellow"/>
          <w:lang w:val="es-ES_tradnl"/>
        </w:rPr>
      </w:pPr>
    </w:p>
    <w:p w:rsidR="00881853" w:rsidRPr="00881853" w:rsidRDefault="00881853" w:rsidP="00881853">
      <w:pPr>
        <w:numPr>
          <w:ilvl w:val="0"/>
          <w:numId w:val="13"/>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lastRenderedPageBreak/>
        <w:t>Respuesta a Posición g. del señor Enrique Chaves Sanabria, párrafo cuarto, primera línea: en lugar de la referencia a la “… sección 2 Justificación…” que se consignó erróneamente, léase correctamente: “… sección Justificación… ”.</w:t>
      </w:r>
    </w:p>
    <w:p w:rsidR="00881853" w:rsidRPr="00881853" w:rsidRDefault="00881853" w:rsidP="00881853">
      <w:pPr>
        <w:ind w:left="709" w:right="282"/>
        <w:contextualSpacing/>
        <w:jc w:val="both"/>
        <w:rPr>
          <w:rFonts w:ascii="Arial" w:hAnsi="Arial" w:cs="Arial"/>
          <w:i/>
          <w:color w:val="000000"/>
          <w:sz w:val="20"/>
          <w:szCs w:val="20"/>
          <w:lang w:val="es-ES_tradnl"/>
        </w:rPr>
      </w:pPr>
    </w:p>
    <w:p w:rsidR="00881853" w:rsidRPr="00881853" w:rsidRDefault="00881853" w:rsidP="00881853">
      <w:pPr>
        <w:numPr>
          <w:ilvl w:val="0"/>
          <w:numId w:val="12"/>
        </w:numPr>
        <w:ind w:right="282"/>
        <w:contextualSpacing/>
        <w:jc w:val="both"/>
        <w:rPr>
          <w:rFonts w:ascii="Arial" w:hAnsi="Arial" w:cs="Arial"/>
          <w:b/>
          <w:i/>
          <w:color w:val="000000"/>
          <w:sz w:val="20"/>
          <w:szCs w:val="20"/>
          <w:lang w:val="es-ES_tradnl"/>
        </w:rPr>
      </w:pPr>
      <w:r w:rsidRPr="00881853">
        <w:rPr>
          <w:rFonts w:ascii="Arial" w:hAnsi="Arial" w:cs="Arial"/>
          <w:b/>
          <w:i/>
          <w:color w:val="000000"/>
          <w:sz w:val="20"/>
          <w:szCs w:val="20"/>
          <w:lang w:val="es-ES_tradnl"/>
        </w:rPr>
        <w:t>En la sección 3. Propuesta del modelo, la cual da base al “Por Tanto I” de la resolución RJD-120-2012:</w:t>
      </w:r>
    </w:p>
    <w:p w:rsidR="00881853" w:rsidRPr="00881853" w:rsidRDefault="00881853" w:rsidP="00881853">
      <w:pPr>
        <w:ind w:left="709" w:right="282"/>
        <w:jc w:val="both"/>
        <w:rPr>
          <w:rFonts w:ascii="Arial" w:hAnsi="Arial" w:cs="Arial"/>
          <w:i/>
          <w:color w:val="000000"/>
          <w:sz w:val="20"/>
          <w:szCs w:val="20"/>
          <w:lang w:val="es-ES_tradnl"/>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3.3, párrafo final: en lugar de la referencia a la sección que se consignó erróneamente, léase correctamente: “sección 3.8”.</w:t>
      </w:r>
    </w:p>
    <w:p w:rsidR="00881853" w:rsidRPr="00881853" w:rsidRDefault="00881853" w:rsidP="00881853">
      <w:pPr>
        <w:ind w:left="567" w:right="142"/>
        <w:contextualSpacing/>
        <w:jc w:val="both"/>
        <w:rPr>
          <w:rFonts w:ascii="Arial" w:hAnsi="Arial" w:cs="Arial"/>
          <w:sz w:val="20"/>
          <w:szCs w:val="20"/>
          <w:highlight w:val="cyan"/>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3.6, párrafo final: en lugar de la referencia a la sección que se consignó erróneamente,</w:t>
      </w:r>
      <w:r w:rsidRPr="00881853" w:rsidDel="0005181A">
        <w:rPr>
          <w:rFonts w:ascii="Arial" w:hAnsi="Arial" w:cs="Arial"/>
          <w:i/>
          <w:color w:val="000000"/>
          <w:sz w:val="20"/>
          <w:szCs w:val="20"/>
          <w:lang w:val="es-ES_tradnl"/>
        </w:rPr>
        <w:t xml:space="preserve"> </w:t>
      </w:r>
      <w:r w:rsidRPr="00881853">
        <w:rPr>
          <w:rFonts w:ascii="Arial" w:hAnsi="Arial" w:cs="Arial"/>
          <w:i/>
          <w:color w:val="000000"/>
          <w:sz w:val="20"/>
          <w:szCs w:val="20"/>
          <w:lang w:val="es-ES_tradnl"/>
        </w:rPr>
        <w:t>léase correctamente: “sección 3.9”.</w:t>
      </w:r>
    </w:p>
    <w:p w:rsidR="00881853" w:rsidRPr="00881853" w:rsidRDefault="00881853" w:rsidP="00881853">
      <w:pPr>
        <w:ind w:left="567" w:right="142"/>
        <w:jc w:val="both"/>
        <w:rPr>
          <w:rFonts w:ascii="Arial" w:hAnsi="Arial" w:cs="Arial"/>
          <w:sz w:val="20"/>
          <w:szCs w:val="20"/>
          <w:highlight w:val="cyan"/>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3.9, subsección “Alcance”, párrafo primero: en lugar de la referencia a la sección que se consignó erróneamente, léase correctamente: “sección 3.6”.</w:t>
      </w:r>
    </w:p>
    <w:p w:rsidR="00881853" w:rsidRPr="00881853" w:rsidRDefault="00881853" w:rsidP="00881853">
      <w:pPr>
        <w:ind w:left="720"/>
        <w:contextualSpacing/>
        <w:rPr>
          <w:rFonts w:ascii="Arial" w:hAnsi="Arial" w:cs="Arial"/>
          <w:i/>
          <w:color w:val="000000"/>
          <w:sz w:val="20"/>
          <w:szCs w:val="20"/>
          <w:lang w:val="es-ES_tradnl"/>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3.10, inciso a., párrafo primero: en lugar de la referencia a la sección que se consignó erróneamente, léase correctamente: “punto 3.1”.</w:t>
      </w:r>
    </w:p>
    <w:p w:rsidR="00881853" w:rsidRPr="00881853" w:rsidRDefault="00881853" w:rsidP="00881853">
      <w:pPr>
        <w:ind w:left="720" w:right="282"/>
        <w:contextualSpacing/>
        <w:jc w:val="both"/>
        <w:rPr>
          <w:rFonts w:ascii="Arial" w:hAnsi="Arial" w:cs="Arial"/>
          <w:i/>
          <w:color w:val="000000"/>
          <w:sz w:val="20"/>
          <w:szCs w:val="20"/>
          <w:lang w:val="es-ES_tradnl"/>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3.10, inciso a., párrafo segundo: en lugar de la referencia a la sección que se consignó erróneamente, léase correctamente: “sección 3.3”.</w:t>
      </w:r>
    </w:p>
    <w:p w:rsidR="00881853" w:rsidRPr="00881853" w:rsidRDefault="00881853" w:rsidP="00881853">
      <w:pPr>
        <w:ind w:left="720" w:right="282"/>
        <w:contextualSpacing/>
        <w:jc w:val="both"/>
        <w:rPr>
          <w:rFonts w:ascii="Arial" w:hAnsi="Arial" w:cs="Arial"/>
          <w:i/>
          <w:color w:val="000000"/>
          <w:sz w:val="20"/>
          <w:szCs w:val="20"/>
          <w:lang w:val="es-ES_tradnl"/>
        </w:rPr>
      </w:pPr>
    </w:p>
    <w:p w:rsidR="00881853" w:rsidRPr="00881853" w:rsidRDefault="00881853" w:rsidP="00881853">
      <w:pPr>
        <w:numPr>
          <w:ilvl w:val="0"/>
          <w:numId w:val="14"/>
        </w:numPr>
        <w:ind w:right="282"/>
        <w:contextualSpacing/>
        <w:jc w:val="both"/>
        <w:rPr>
          <w:rFonts w:ascii="Arial" w:hAnsi="Arial" w:cs="Arial"/>
          <w:i/>
          <w:color w:val="000000"/>
          <w:sz w:val="20"/>
          <w:szCs w:val="20"/>
          <w:lang w:val="es-ES_tradnl"/>
        </w:rPr>
      </w:pPr>
      <w:r w:rsidRPr="00881853">
        <w:rPr>
          <w:rFonts w:ascii="Arial" w:hAnsi="Arial" w:cs="Arial"/>
          <w:i/>
          <w:color w:val="000000"/>
          <w:sz w:val="20"/>
          <w:szCs w:val="20"/>
          <w:lang w:val="es-ES_tradnl"/>
        </w:rPr>
        <w:t>Sección 3.10, inciso b., subinciso b.: en lugar de la referencia a la sección que se consignó erróneamente, léase correctamente: “sección 3.3”.</w:t>
      </w:r>
    </w:p>
    <w:p w:rsidR="00881853" w:rsidRPr="00881853" w:rsidRDefault="00881853" w:rsidP="00881853">
      <w:pPr>
        <w:ind w:left="180" w:right="199"/>
        <w:jc w:val="both"/>
        <w:rPr>
          <w:rFonts w:ascii="Arial" w:hAnsi="Arial" w:cs="Arial"/>
          <w:sz w:val="20"/>
          <w:szCs w:val="20"/>
          <w:lang w:val="es-ES_tradnl"/>
        </w:rPr>
      </w:pPr>
    </w:p>
    <w:p w:rsidR="00881853" w:rsidRPr="00881853" w:rsidRDefault="00881853" w:rsidP="00881853">
      <w:pPr>
        <w:numPr>
          <w:ilvl w:val="0"/>
          <w:numId w:val="3"/>
        </w:numPr>
        <w:ind w:right="199"/>
        <w:jc w:val="both"/>
        <w:rPr>
          <w:rFonts w:ascii="Arial" w:hAnsi="Arial" w:cs="Arial"/>
          <w:sz w:val="20"/>
          <w:szCs w:val="20"/>
        </w:rPr>
      </w:pPr>
      <w:r w:rsidRPr="00881853">
        <w:rPr>
          <w:rFonts w:ascii="Arial" w:hAnsi="Arial" w:cs="Arial"/>
          <w:sz w:val="20"/>
          <w:szCs w:val="20"/>
        </w:rPr>
        <w:t>Que la Ley General de la Administración Pública, en el numeral 157, dispone que en cualquier tiempo, podrá la Administración rectificar los errores materiales o de hecho y los aritméticos.</w:t>
      </w:r>
    </w:p>
    <w:p w:rsidR="00881853" w:rsidRPr="00881853" w:rsidRDefault="00881853" w:rsidP="00881853">
      <w:pPr>
        <w:ind w:left="180" w:right="199"/>
        <w:jc w:val="both"/>
        <w:rPr>
          <w:rFonts w:ascii="Arial" w:hAnsi="Arial" w:cs="Arial"/>
          <w:sz w:val="20"/>
          <w:szCs w:val="20"/>
        </w:rPr>
      </w:pPr>
    </w:p>
    <w:p w:rsidR="00881853" w:rsidRPr="00881853" w:rsidRDefault="00881853" w:rsidP="00881853">
      <w:pPr>
        <w:numPr>
          <w:ilvl w:val="0"/>
          <w:numId w:val="3"/>
        </w:numPr>
        <w:ind w:right="199"/>
        <w:jc w:val="both"/>
        <w:rPr>
          <w:rFonts w:ascii="Arial" w:hAnsi="Arial" w:cs="Arial"/>
          <w:sz w:val="20"/>
          <w:szCs w:val="20"/>
        </w:rPr>
      </w:pPr>
      <w:r w:rsidRPr="00881853">
        <w:rPr>
          <w:rFonts w:ascii="Arial" w:hAnsi="Arial" w:cs="Arial"/>
          <w:sz w:val="20"/>
          <w:szCs w:val="20"/>
        </w:rPr>
        <w:t xml:space="preserve">Que de conformidad con lo expuesto, habiéndose hecho referencia en la parte considerativa y en el “Por Tanto I” de la citada resolución, a </w:t>
      </w:r>
      <w:r w:rsidRPr="00881853">
        <w:rPr>
          <w:rFonts w:ascii="Arial" w:hAnsi="Arial" w:cs="Arial"/>
          <w:color w:val="000000"/>
          <w:sz w:val="20"/>
          <w:szCs w:val="20"/>
          <w:lang w:val="es-ES_tradnl"/>
        </w:rPr>
        <w:t xml:space="preserve">secciones que no correspondían, lo procedente sería corregir dichos errores materiales, tal y como se dispone. </w:t>
      </w:r>
    </w:p>
    <w:p w:rsidR="00881853" w:rsidRPr="00881853" w:rsidRDefault="00881853" w:rsidP="00881853">
      <w:pPr>
        <w:ind w:right="199"/>
        <w:jc w:val="center"/>
        <w:rPr>
          <w:rFonts w:ascii="Arial" w:hAnsi="Arial" w:cs="Arial"/>
          <w:b/>
          <w:sz w:val="20"/>
          <w:szCs w:val="20"/>
          <w:u w:val="single"/>
        </w:rPr>
      </w:pPr>
    </w:p>
    <w:p w:rsidR="00881853" w:rsidRPr="00881853" w:rsidRDefault="00881853" w:rsidP="00881853">
      <w:pPr>
        <w:ind w:right="199"/>
        <w:jc w:val="center"/>
        <w:rPr>
          <w:rFonts w:ascii="Arial" w:hAnsi="Arial" w:cs="Arial"/>
          <w:b/>
          <w:sz w:val="20"/>
          <w:szCs w:val="20"/>
        </w:rPr>
      </w:pPr>
      <w:r w:rsidRPr="00881853">
        <w:rPr>
          <w:rFonts w:ascii="Arial" w:hAnsi="Arial" w:cs="Arial"/>
          <w:b/>
          <w:sz w:val="20"/>
          <w:szCs w:val="20"/>
        </w:rPr>
        <w:t>POR TANTO:</w:t>
      </w:r>
    </w:p>
    <w:p w:rsidR="00881853" w:rsidRPr="00881853" w:rsidRDefault="00881853" w:rsidP="00881853">
      <w:pPr>
        <w:keepNext/>
        <w:ind w:right="199"/>
        <w:jc w:val="both"/>
        <w:outlineLvl w:val="4"/>
        <w:rPr>
          <w:rFonts w:ascii="Arial" w:hAnsi="Arial" w:cs="Arial"/>
          <w:b/>
          <w:sz w:val="20"/>
          <w:szCs w:val="20"/>
          <w:lang w:eastAsia="en-US"/>
        </w:rPr>
      </w:pPr>
    </w:p>
    <w:p w:rsidR="00881853" w:rsidRPr="00881853" w:rsidRDefault="00881853" w:rsidP="00881853">
      <w:pPr>
        <w:keepNext/>
        <w:ind w:right="199"/>
        <w:jc w:val="both"/>
        <w:outlineLvl w:val="4"/>
        <w:rPr>
          <w:rFonts w:ascii="Arial" w:hAnsi="Arial" w:cs="Arial"/>
          <w:b/>
          <w:sz w:val="20"/>
          <w:szCs w:val="20"/>
          <w:lang w:eastAsia="en-US"/>
        </w:rPr>
      </w:pPr>
      <w:r w:rsidRPr="00881853">
        <w:rPr>
          <w:rFonts w:ascii="Arial" w:hAnsi="Arial" w:cs="Arial"/>
          <w:b/>
          <w:sz w:val="20"/>
          <w:szCs w:val="20"/>
          <w:lang w:eastAsia="en-US"/>
        </w:rPr>
        <w:t>La Junta Directiva de la Autoridad Reguladora de los Servicios Públicos</w:t>
      </w:r>
    </w:p>
    <w:p w:rsidR="00881853" w:rsidRPr="00881853" w:rsidRDefault="00881853" w:rsidP="00881853">
      <w:pPr>
        <w:rPr>
          <w:rFonts w:ascii="Arial" w:eastAsia="Calibri" w:hAnsi="Arial" w:cs="Arial"/>
          <w:sz w:val="20"/>
          <w:szCs w:val="20"/>
          <w:lang w:eastAsia="en-US"/>
        </w:rPr>
      </w:pPr>
    </w:p>
    <w:p w:rsidR="00881853" w:rsidRPr="00881853" w:rsidRDefault="00881853" w:rsidP="00881853">
      <w:pPr>
        <w:ind w:right="199"/>
        <w:jc w:val="center"/>
        <w:rPr>
          <w:rFonts w:ascii="Arial" w:hAnsi="Arial" w:cs="Arial"/>
          <w:b/>
          <w:sz w:val="20"/>
          <w:szCs w:val="20"/>
          <w:lang w:eastAsia="en-US"/>
        </w:rPr>
      </w:pPr>
      <w:r w:rsidRPr="00881853">
        <w:rPr>
          <w:rFonts w:ascii="Arial" w:hAnsi="Arial" w:cs="Arial"/>
          <w:b/>
          <w:sz w:val="20"/>
          <w:szCs w:val="20"/>
          <w:lang w:eastAsia="en-US"/>
        </w:rPr>
        <w:t>RESUELVE:</w:t>
      </w:r>
    </w:p>
    <w:p w:rsidR="00881853" w:rsidRPr="00881853" w:rsidRDefault="00881853" w:rsidP="00881853">
      <w:pPr>
        <w:ind w:right="199"/>
        <w:jc w:val="both"/>
        <w:rPr>
          <w:rFonts w:ascii="Arial" w:hAnsi="Arial" w:cs="Arial"/>
          <w:b/>
          <w:sz w:val="20"/>
          <w:szCs w:val="20"/>
          <w:lang w:eastAsia="en-US"/>
        </w:rPr>
      </w:pPr>
    </w:p>
    <w:p w:rsidR="00881853" w:rsidRPr="00881853" w:rsidRDefault="00881853" w:rsidP="00881853">
      <w:pPr>
        <w:jc w:val="both"/>
        <w:rPr>
          <w:rFonts w:ascii="Arial" w:eastAsia="Calibri" w:hAnsi="Arial" w:cs="Arial"/>
          <w:b/>
          <w:sz w:val="20"/>
          <w:szCs w:val="20"/>
          <w:lang w:val="es-ES" w:eastAsia="en-US"/>
        </w:rPr>
      </w:pPr>
      <w:r w:rsidRPr="00881853">
        <w:rPr>
          <w:rFonts w:ascii="Arial" w:eastAsia="Calibri" w:hAnsi="Arial" w:cs="Arial"/>
          <w:b/>
          <w:sz w:val="20"/>
          <w:szCs w:val="20"/>
          <w:lang w:val="es-ES" w:eastAsia="en-US"/>
        </w:rPr>
        <w:t>ACUERDO 05-93-2012</w:t>
      </w:r>
    </w:p>
    <w:p w:rsidR="00881853" w:rsidRPr="00881853" w:rsidRDefault="00881853" w:rsidP="00881853">
      <w:pPr>
        <w:ind w:right="199"/>
        <w:jc w:val="both"/>
        <w:rPr>
          <w:rFonts w:ascii="Arial" w:hAnsi="Arial" w:cs="Arial"/>
          <w:sz w:val="20"/>
          <w:szCs w:val="20"/>
          <w:lang w:val="es-ES_tradnl"/>
        </w:rPr>
      </w:pPr>
    </w:p>
    <w:p w:rsidR="00881853" w:rsidRPr="00881853" w:rsidRDefault="00881853" w:rsidP="00881853">
      <w:pPr>
        <w:numPr>
          <w:ilvl w:val="0"/>
          <w:numId w:val="11"/>
        </w:numPr>
        <w:ind w:right="199"/>
        <w:jc w:val="both"/>
        <w:rPr>
          <w:rFonts w:ascii="Arial" w:hAnsi="Arial" w:cs="Arial"/>
          <w:sz w:val="20"/>
          <w:szCs w:val="20"/>
        </w:rPr>
      </w:pPr>
      <w:r w:rsidRPr="00881853">
        <w:rPr>
          <w:rFonts w:ascii="Arial" w:hAnsi="Arial" w:cs="Arial"/>
          <w:sz w:val="20"/>
          <w:szCs w:val="20"/>
          <w:lang w:eastAsia="en-US"/>
        </w:rPr>
        <w:t>Rectificar los errores materiales detectados en el “</w:t>
      </w:r>
      <w:r w:rsidRPr="00881853">
        <w:rPr>
          <w:rFonts w:ascii="Arial" w:hAnsi="Arial" w:cs="Arial"/>
          <w:i/>
          <w:sz w:val="20"/>
          <w:szCs w:val="20"/>
          <w:lang w:eastAsia="en-US"/>
        </w:rPr>
        <w:t>Considerando III</w:t>
      </w:r>
      <w:r w:rsidRPr="00881853">
        <w:rPr>
          <w:rFonts w:ascii="Arial" w:hAnsi="Arial" w:cs="Arial"/>
          <w:sz w:val="20"/>
          <w:szCs w:val="20"/>
          <w:lang w:eastAsia="en-US"/>
        </w:rPr>
        <w:t>” de la resolución RJD-120-2012, del 5 de noviembre de 2012, según se explica a continuación:</w:t>
      </w:r>
    </w:p>
    <w:p w:rsidR="00881853" w:rsidRPr="00881853" w:rsidRDefault="00881853" w:rsidP="00881853">
      <w:pPr>
        <w:ind w:left="180" w:right="199"/>
        <w:jc w:val="both"/>
        <w:rPr>
          <w:rFonts w:ascii="Arial" w:hAnsi="Arial" w:cs="Arial"/>
          <w:sz w:val="20"/>
          <w:szCs w:val="20"/>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Audiencias Públicas: en lugar de la referencia a la “sección 4.10.a.” que se consignó erróneamente, léase correctamente: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w:t>
      </w:r>
    </w:p>
    <w:p w:rsidR="00881853" w:rsidRPr="00881853" w:rsidRDefault="00881853" w:rsidP="00881853">
      <w:pPr>
        <w:ind w:left="709" w:right="282"/>
        <w:contextualSpacing/>
        <w:jc w:val="both"/>
        <w:rPr>
          <w:rFonts w:ascii="Arial" w:hAnsi="Arial" w:cs="Arial"/>
          <w:color w:val="000000"/>
          <w:sz w:val="20"/>
          <w:szCs w:val="20"/>
          <w:lang w:val="es-ES_tradnl"/>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 xml:space="preserve">En la sección 1.1 Defensoría de los Habitantes, en las respuestas a las posiciones, en lugar de las referencias a: “sección 4.10.a”, “sección 4.9” y “sección 4.10” que se </w:t>
      </w:r>
      <w:r w:rsidRPr="00881853">
        <w:rPr>
          <w:rFonts w:ascii="Arial" w:hAnsi="Arial" w:cs="Arial"/>
          <w:color w:val="000000"/>
          <w:sz w:val="20"/>
          <w:szCs w:val="20"/>
          <w:lang w:val="es-ES_tradnl"/>
        </w:rPr>
        <w:lastRenderedPageBreak/>
        <w:t>consignaron erróneamente, léase correctamente: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 “</w:t>
      </w:r>
      <w:r w:rsidRPr="00881853">
        <w:rPr>
          <w:rFonts w:ascii="Arial" w:hAnsi="Arial" w:cs="Arial"/>
          <w:i/>
          <w:color w:val="000000"/>
          <w:sz w:val="20"/>
          <w:szCs w:val="20"/>
          <w:lang w:val="es-ES_tradnl"/>
        </w:rPr>
        <w:t>sección 3.9</w:t>
      </w:r>
      <w:r w:rsidRPr="00881853">
        <w:rPr>
          <w:rFonts w:ascii="Arial" w:hAnsi="Arial" w:cs="Arial"/>
          <w:color w:val="000000"/>
          <w:sz w:val="20"/>
          <w:szCs w:val="20"/>
          <w:lang w:val="es-ES_tradnl"/>
        </w:rPr>
        <w:t>” y “</w:t>
      </w:r>
      <w:r w:rsidRPr="00881853">
        <w:rPr>
          <w:rFonts w:ascii="Arial" w:hAnsi="Arial" w:cs="Arial"/>
          <w:i/>
          <w:color w:val="000000"/>
          <w:sz w:val="20"/>
          <w:szCs w:val="20"/>
          <w:lang w:val="es-ES_tradnl"/>
        </w:rPr>
        <w:t>sección 3.10</w:t>
      </w:r>
      <w:r w:rsidRPr="00881853">
        <w:rPr>
          <w:rFonts w:ascii="Arial" w:hAnsi="Arial" w:cs="Arial"/>
          <w:color w:val="000000"/>
          <w:sz w:val="20"/>
          <w:szCs w:val="20"/>
          <w:lang w:val="es-ES_tradnl"/>
        </w:rPr>
        <w:t>”, respectivamente.</w:t>
      </w:r>
    </w:p>
    <w:p w:rsidR="00881853" w:rsidRPr="00881853" w:rsidRDefault="00881853" w:rsidP="00881853">
      <w:pPr>
        <w:ind w:left="709" w:right="282"/>
        <w:contextualSpacing/>
        <w:jc w:val="both"/>
        <w:rPr>
          <w:rFonts w:ascii="Arial" w:hAnsi="Arial" w:cs="Arial"/>
          <w:color w:val="000000"/>
          <w:sz w:val="20"/>
          <w:szCs w:val="20"/>
          <w:lang w:val="es-ES_tradnl"/>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1.3 Consejero del Usuario, en las respuestas a las posiciones, en lugar de las referencias a: “sección 4.10.a” y “sección 4.10”, que se consignaron erróneamente, léase correctamente: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 y “</w:t>
      </w:r>
      <w:r w:rsidRPr="00881853">
        <w:rPr>
          <w:rFonts w:ascii="Arial" w:hAnsi="Arial" w:cs="Arial"/>
          <w:i/>
          <w:color w:val="000000"/>
          <w:sz w:val="20"/>
          <w:szCs w:val="20"/>
          <w:lang w:val="es-ES_tradnl"/>
        </w:rPr>
        <w:t>sección 3.10</w:t>
      </w:r>
      <w:r w:rsidRPr="00881853">
        <w:rPr>
          <w:rFonts w:ascii="Arial" w:hAnsi="Arial" w:cs="Arial"/>
          <w:color w:val="000000"/>
          <w:sz w:val="20"/>
          <w:szCs w:val="20"/>
          <w:lang w:val="es-ES_tradnl"/>
        </w:rPr>
        <w:t>”, respectivamente.</w:t>
      </w:r>
    </w:p>
    <w:p w:rsidR="00881853" w:rsidRPr="00881853" w:rsidRDefault="00881853" w:rsidP="00881853">
      <w:pPr>
        <w:ind w:left="709" w:right="282"/>
        <w:contextualSpacing/>
        <w:jc w:val="both"/>
        <w:rPr>
          <w:rFonts w:ascii="Arial" w:hAnsi="Arial" w:cs="Arial"/>
          <w:color w:val="000000"/>
          <w:sz w:val="20"/>
          <w:szCs w:val="20"/>
          <w:lang w:val="es-ES_tradnl"/>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1.5 Foro Nacional de Transporte Público Modalidad Autobús, en la respuesta a las posiciones, en lugar de las referencias a: “sección 4.9” y “sección 4.10.a” que se consignaron erróneamente, léase correctamente: “</w:t>
      </w:r>
      <w:r w:rsidRPr="00881853">
        <w:rPr>
          <w:rFonts w:ascii="Arial" w:hAnsi="Arial" w:cs="Arial"/>
          <w:i/>
          <w:color w:val="000000"/>
          <w:sz w:val="20"/>
          <w:szCs w:val="20"/>
          <w:lang w:val="es-ES_tradnl"/>
        </w:rPr>
        <w:t>sección 3.9</w:t>
      </w:r>
      <w:r w:rsidRPr="00881853">
        <w:rPr>
          <w:rFonts w:ascii="Arial" w:hAnsi="Arial" w:cs="Arial"/>
          <w:color w:val="000000"/>
          <w:sz w:val="20"/>
          <w:szCs w:val="20"/>
          <w:lang w:val="es-ES_tradnl"/>
        </w:rPr>
        <w:t>” y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 respectivamente.</w:t>
      </w:r>
    </w:p>
    <w:p w:rsidR="00881853" w:rsidRPr="00881853" w:rsidRDefault="00881853" w:rsidP="00881853">
      <w:pPr>
        <w:ind w:left="709" w:right="282"/>
        <w:contextualSpacing/>
        <w:jc w:val="both"/>
        <w:rPr>
          <w:rFonts w:ascii="Arial" w:hAnsi="Arial" w:cs="Arial"/>
          <w:color w:val="000000"/>
          <w:sz w:val="20"/>
          <w:szCs w:val="20"/>
          <w:lang w:val="es-ES_tradnl"/>
        </w:rPr>
      </w:pPr>
    </w:p>
    <w:p w:rsidR="00881853" w:rsidRPr="00881853" w:rsidRDefault="00881853" w:rsidP="00881853">
      <w:pPr>
        <w:numPr>
          <w:ilvl w:val="0"/>
          <w:numId w:val="17"/>
        </w:numPr>
        <w:ind w:left="714" w:right="284" w:hanging="357"/>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2.3 Defensoría de los Habitantes, Ana Karina Zeledón Lépiz, en su condición de Directora de Asuntos Económicos de la Defensoría de los Habitantes (Folios 389 al 395), en la respuesta a las posiciones, en lugar de las referencias a: “sección 4.10.a”, “sección 4.9” y “sección 4.10”, que se consignaron erróneamente, léase correctamente: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 “</w:t>
      </w:r>
      <w:r w:rsidRPr="00881853">
        <w:rPr>
          <w:rFonts w:ascii="Arial" w:hAnsi="Arial" w:cs="Arial"/>
          <w:i/>
          <w:color w:val="000000"/>
          <w:sz w:val="20"/>
          <w:szCs w:val="20"/>
          <w:lang w:val="es-ES_tradnl"/>
        </w:rPr>
        <w:t xml:space="preserve">sección 3.9” </w:t>
      </w:r>
      <w:r w:rsidRPr="00881853">
        <w:rPr>
          <w:rFonts w:ascii="Arial" w:hAnsi="Arial" w:cs="Arial"/>
          <w:color w:val="000000"/>
          <w:sz w:val="20"/>
          <w:szCs w:val="20"/>
          <w:lang w:val="es-ES_tradnl"/>
        </w:rPr>
        <w:t xml:space="preserve">y </w:t>
      </w:r>
      <w:r w:rsidRPr="00881853">
        <w:rPr>
          <w:rFonts w:ascii="Arial" w:hAnsi="Arial" w:cs="Arial"/>
          <w:i/>
          <w:color w:val="000000"/>
          <w:sz w:val="20"/>
          <w:szCs w:val="20"/>
          <w:lang w:val="es-ES_tradnl"/>
        </w:rPr>
        <w:t>“sección 3.10”</w:t>
      </w:r>
      <w:r w:rsidRPr="00881853">
        <w:rPr>
          <w:rFonts w:ascii="Arial" w:hAnsi="Arial" w:cs="Arial"/>
          <w:color w:val="000000"/>
          <w:sz w:val="20"/>
          <w:szCs w:val="20"/>
          <w:lang w:val="es-ES_tradnl"/>
        </w:rPr>
        <w:t>, respectivamente.</w:t>
      </w:r>
    </w:p>
    <w:p w:rsidR="00881853" w:rsidRPr="00881853" w:rsidRDefault="00881853" w:rsidP="00881853">
      <w:pPr>
        <w:ind w:left="709" w:right="282"/>
        <w:contextualSpacing/>
        <w:jc w:val="both"/>
        <w:rPr>
          <w:rFonts w:ascii="Arial" w:hAnsi="Arial" w:cs="Arial"/>
          <w:color w:val="000000"/>
          <w:sz w:val="20"/>
          <w:szCs w:val="20"/>
          <w:lang w:val="es-ES_tradnl"/>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 xml:space="preserve">En la sección 2.4 Consejero del Usuario, en la respuesta a las posiciones, en lugar de la referencia a: </w:t>
      </w:r>
      <w:r w:rsidRPr="00881853">
        <w:rPr>
          <w:rFonts w:ascii="Arial" w:hAnsi="Arial" w:cs="Arial"/>
          <w:i/>
          <w:color w:val="000000"/>
          <w:sz w:val="20"/>
          <w:szCs w:val="20"/>
          <w:lang w:val="es-ES_tradnl"/>
        </w:rPr>
        <w:t>“sección 4.10.a”,</w:t>
      </w:r>
      <w:r w:rsidRPr="00881853">
        <w:rPr>
          <w:rFonts w:ascii="Arial" w:hAnsi="Arial" w:cs="Arial"/>
          <w:color w:val="000000"/>
          <w:sz w:val="20"/>
          <w:szCs w:val="20"/>
          <w:lang w:val="es-ES_tradnl"/>
        </w:rPr>
        <w:t xml:space="preserve"> que se consignó erróneamente, léase correctamente: “</w:t>
      </w:r>
      <w:r w:rsidRPr="00881853">
        <w:rPr>
          <w:rFonts w:ascii="Arial" w:hAnsi="Arial" w:cs="Arial"/>
          <w:i/>
          <w:color w:val="000000"/>
          <w:sz w:val="20"/>
          <w:szCs w:val="20"/>
          <w:lang w:val="es-ES_tradnl"/>
        </w:rPr>
        <w:t>sección 3.10.a</w:t>
      </w:r>
      <w:r w:rsidRPr="00881853">
        <w:rPr>
          <w:rFonts w:ascii="Arial" w:hAnsi="Arial" w:cs="Arial"/>
          <w:color w:val="000000"/>
          <w:sz w:val="20"/>
          <w:szCs w:val="20"/>
          <w:lang w:val="es-ES_tradnl"/>
        </w:rPr>
        <w:t>”.</w:t>
      </w:r>
    </w:p>
    <w:p w:rsidR="00881853" w:rsidRPr="00881853" w:rsidRDefault="00881853" w:rsidP="00881853">
      <w:pPr>
        <w:ind w:left="720"/>
        <w:contextualSpacing/>
        <w:jc w:val="both"/>
        <w:rPr>
          <w:rFonts w:ascii="Arial" w:hAnsi="Arial" w:cs="Arial"/>
          <w:color w:val="000000"/>
          <w:sz w:val="20"/>
          <w:szCs w:val="20"/>
          <w:highlight w:val="yellow"/>
          <w:lang w:val="es-ES_tradnl"/>
        </w:rPr>
      </w:pPr>
    </w:p>
    <w:p w:rsidR="00881853" w:rsidRPr="00881853" w:rsidRDefault="00881853" w:rsidP="00881853">
      <w:pPr>
        <w:numPr>
          <w:ilvl w:val="0"/>
          <w:numId w:val="17"/>
        </w:numPr>
        <w:ind w:left="714" w:right="284" w:hanging="357"/>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2.6 Leonardo Déreck Meneses Soto, cédula de identidad 1-0542-0316 (Folios 409 al 413), en la respuesta a las oposiciones, en lugar de la referencia a la “sección 4.9”, que se consignó erróneamente, léase correctamente: “</w:t>
      </w:r>
      <w:r w:rsidRPr="00881853">
        <w:rPr>
          <w:rFonts w:ascii="Arial" w:hAnsi="Arial" w:cs="Arial"/>
          <w:i/>
          <w:color w:val="000000"/>
          <w:sz w:val="20"/>
          <w:szCs w:val="20"/>
          <w:lang w:val="es-ES_tradnl"/>
        </w:rPr>
        <w:t>sección 3.9</w:t>
      </w:r>
      <w:r w:rsidRPr="00881853">
        <w:rPr>
          <w:rFonts w:ascii="Arial" w:hAnsi="Arial" w:cs="Arial"/>
          <w:color w:val="000000"/>
          <w:sz w:val="20"/>
          <w:szCs w:val="20"/>
          <w:lang w:val="es-ES_tradnl"/>
        </w:rPr>
        <w:t>”.</w:t>
      </w:r>
    </w:p>
    <w:p w:rsidR="00881853" w:rsidRPr="00881853" w:rsidRDefault="00881853" w:rsidP="00881853">
      <w:pPr>
        <w:ind w:left="720"/>
        <w:contextualSpacing/>
        <w:jc w:val="both"/>
        <w:rPr>
          <w:rFonts w:ascii="Arial" w:hAnsi="Arial" w:cs="Arial"/>
          <w:color w:val="000000"/>
          <w:sz w:val="20"/>
          <w:szCs w:val="20"/>
          <w:lang w:val="es-ES_tradnl"/>
        </w:rPr>
      </w:pPr>
    </w:p>
    <w:p w:rsidR="00881853" w:rsidRPr="00881853" w:rsidRDefault="00881853" w:rsidP="00881853">
      <w:pPr>
        <w:numPr>
          <w:ilvl w:val="0"/>
          <w:numId w:val="17"/>
        </w:numPr>
        <w:ind w:right="282"/>
        <w:contextualSpacing/>
        <w:jc w:val="both"/>
        <w:rPr>
          <w:rFonts w:ascii="Arial" w:hAnsi="Arial" w:cs="Arial"/>
          <w:color w:val="000000"/>
          <w:sz w:val="20"/>
          <w:szCs w:val="20"/>
          <w:lang w:val="es-ES_tradnl"/>
        </w:rPr>
      </w:pPr>
      <w:r w:rsidRPr="00881853">
        <w:rPr>
          <w:rFonts w:ascii="Arial" w:hAnsi="Arial" w:cs="Arial"/>
          <w:color w:val="000000"/>
          <w:sz w:val="20"/>
          <w:szCs w:val="20"/>
          <w:lang w:val="es-ES_tradnl"/>
        </w:rPr>
        <w:t>En la sección 2.7 Enrique Chaves Sanabria, con cédula de identidad 3-0204-0112 (Folios 414 al 415), en la respuesta a las oposiciones, en lugar de la referencia a la “sección 2 Justificación” que se consignó erróneamente, léase correctamente: “</w:t>
      </w:r>
      <w:r w:rsidRPr="00881853">
        <w:rPr>
          <w:rFonts w:ascii="Arial" w:hAnsi="Arial" w:cs="Arial"/>
          <w:i/>
          <w:color w:val="000000"/>
          <w:sz w:val="20"/>
          <w:szCs w:val="20"/>
          <w:lang w:val="es-ES_tradnl"/>
        </w:rPr>
        <w:t>sección Justificación</w:t>
      </w:r>
      <w:r w:rsidRPr="00881853">
        <w:rPr>
          <w:rFonts w:ascii="Arial" w:hAnsi="Arial" w:cs="Arial"/>
          <w:color w:val="000000"/>
          <w:sz w:val="20"/>
          <w:szCs w:val="20"/>
          <w:lang w:val="es-ES_tradnl"/>
        </w:rPr>
        <w:t>”.</w:t>
      </w:r>
    </w:p>
    <w:p w:rsidR="00881853" w:rsidRPr="00881853" w:rsidRDefault="00881853" w:rsidP="00881853">
      <w:pPr>
        <w:ind w:left="720" w:right="282"/>
        <w:contextualSpacing/>
        <w:jc w:val="both"/>
        <w:rPr>
          <w:rFonts w:ascii="Arial" w:hAnsi="Arial" w:cs="Arial"/>
          <w:color w:val="000000"/>
          <w:sz w:val="20"/>
          <w:szCs w:val="20"/>
          <w:lang w:val="es-ES_tradnl"/>
        </w:rPr>
      </w:pPr>
    </w:p>
    <w:p w:rsidR="00881853" w:rsidRPr="00881853" w:rsidRDefault="00881853" w:rsidP="00881853">
      <w:pPr>
        <w:numPr>
          <w:ilvl w:val="0"/>
          <w:numId w:val="11"/>
        </w:numPr>
        <w:ind w:right="199"/>
        <w:jc w:val="both"/>
        <w:rPr>
          <w:rFonts w:ascii="Arial" w:hAnsi="Arial" w:cs="Arial"/>
          <w:sz w:val="20"/>
          <w:szCs w:val="20"/>
        </w:rPr>
      </w:pPr>
      <w:r w:rsidRPr="00881853">
        <w:rPr>
          <w:rFonts w:ascii="Arial" w:hAnsi="Arial" w:cs="Arial"/>
          <w:sz w:val="20"/>
          <w:szCs w:val="20"/>
          <w:lang w:eastAsia="en-US"/>
        </w:rPr>
        <w:t xml:space="preserve">Rectificar los errores materiales detectados en el </w:t>
      </w:r>
      <w:r w:rsidRPr="00881853">
        <w:rPr>
          <w:rFonts w:ascii="Arial" w:hAnsi="Arial" w:cs="Arial"/>
          <w:i/>
          <w:sz w:val="20"/>
          <w:szCs w:val="20"/>
          <w:lang w:eastAsia="en-US"/>
        </w:rPr>
        <w:t>“Por Tanto I”</w:t>
      </w:r>
      <w:r w:rsidRPr="00881853">
        <w:rPr>
          <w:rFonts w:ascii="Arial" w:hAnsi="Arial" w:cs="Arial"/>
          <w:sz w:val="20"/>
          <w:szCs w:val="20"/>
          <w:lang w:eastAsia="en-US"/>
        </w:rPr>
        <w:t xml:space="preserve"> de la resolución RJD-120-2012 del 5 de noviembre de 2012, para que se lea correctamente, como se dispone:</w:t>
      </w:r>
    </w:p>
    <w:p w:rsidR="00881853" w:rsidRPr="00881853" w:rsidRDefault="00881853" w:rsidP="00881853">
      <w:pPr>
        <w:ind w:right="199"/>
        <w:jc w:val="both"/>
        <w:rPr>
          <w:rFonts w:ascii="Arial" w:hAnsi="Arial" w:cs="Arial"/>
          <w:sz w:val="20"/>
          <w:szCs w:val="20"/>
          <w:lang w:eastAsia="en-US"/>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t xml:space="preserve">Sección 2.3, párrafo final: en lugar de la referencia a la sección que se consignó erróneamente, </w:t>
      </w:r>
      <w:r w:rsidRPr="00881853" w:rsidDel="0005181A">
        <w:rPr>
          <w:rFonts w:ascii="Arial" w:hAnsi="Arial" w:cs="Arial"/>
          <w:sz w:val="20"/>
          <w:szCs w:val="20"/>
        </w:rPr>
        <w:t xml:space="preserve"> </w:t>
      </w:r>
      <w:r w:rsidRPr="00881853">
        <w:rPr>
          <w:rFonts w:ascii="Arial" w:hAnsi="Arial" w:cs="Arial"/>
          <w:sz w:val="20"/>
          <w:szCs w:val="20"/>
        </w:rPr>
        <w:t xml:space="preserve">léase correctamente: </w:t>
      </w:r>
      <w:r w:rsidRPr="00881853">
        <w:rPr>
          <w:rFonts w:ascii="Arial" w:hAnsi="Arial" w:cs="Arial"/>
          <w:i/>
          <w:sz w:val="20"/>
          <w:szCs w:val="20"/>
        </w:rPr>
        <w:t>“sección 2.8”.</w:t>
      </w:r>
    </w:p>
    <w:p w:rsidR="00881853" w:rsidRPr="00881853" w:rsidRDefault="00881853" w:rsidP="00881853">
      <w:pPr>
        <w:ind w:left="567" w:right="142"/>
        <w:contextualSpacing/>
        <w:jc w:val="both"/>
        <w:rPr>
          <w:rFonts w:ascii="Arial" w:hAnsi="Arial" w:cs="Arial"/>
          <w:sz w:val="20"/>
          <w:szCs w:val="20"/>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t xml:space="preserve">Sección 2.6, párrafo final: en lugar de la referencia a la sección que se consignó erróneamente, </w:t>
      </w:r>
      <w:r w:rsidRPr="00881853" w:rsidDel="0005181A">
        <w:rPr>
          <w:rFonts w:ascii="Arial" w:hAnsi="Arial" w:cs="Arial"/>
          <w:sz w:val="20"/>
          <w:szCs w:val="20"/>
        </w:rPr>
        <w:t xml:space="preserve"> </w:t>
      </w:r>
      <w:r w:rsidRPr="00881853">
        <w:rPr>
          <w:rFonts w:ascii="Arial" w:hAnsi="Arial" w:cs="Arial"/>
          <w:sz w:val="20"/>
          <w:szCs w:val="20"/>
        </w:rPr>
        <w:t xml:space="preserve">léase correctamente: </w:t>
      </w:r>
      <w:r w:rsidRPr="00881853">
        <w:rPr>
          <w:rFonts w:ascii="Arial" w:hAnsi="Arial" w:cs="Arial"/>
          <w:i/>
          <w:sz w:val="20"/>
          <w:szCs w:val="20"/>
        </w:rPr>
        <w:t>“sección 2.9”</w:t>
      </w:r>
      <w:r w:rsidRPr="00881853">
        <w:rPr>
          <w:rFonts w:ascii="Arial" w:hAnsi="Arial" w:cs="Arial"/>
          <w:sz w:val="20"/>
          <w:szCs w:val="20"/>
        </w:rPr>
        <w:t>.</w:t>
      </w:r>
    </w:p>
    <w:p w:rsidR="00881853" w:rsidRPr="00881853" w:rsidRDefault="00881853" w:rsidP="00881853">
      <w:pPr>
        <w:ind w:left="567" w:right="142"/>
        <w:jc w:val="both"/>
        <w:rPr>
          <w:rFonts w:ascii="Arial" w:hAnsi="Arial" w:cs="Arial"/>
          <w:sz w:val="20"/>
          <w:szCs w:val="20"/>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t xml:space="preserve">Sección 2.9, subsección </w:t>
      </w:r>
      <w:r w:rsidRPr="00881853">
        <w:rPr>
          <w:rFonts w:ascii="Arial" w:hAnsi="Arial" w:cs="Arial"/>
          <w:i/>
          <w:sz w:val="20"/>
          <w:szCs w:val="20"/>
        </w:rPr>
        <w:t>“Alcance”,</w:t>
      </w:r>
      <w:r w:rsidRPr="00881853">
        <w:rPr>
          <w:rFonts w:ascii="Arial" w:hAnsi="Arial" w:cs="Arial"/>
          <w:sz w:val="20"/>
          <w:szCs w:val="20"/>
        </w:rPr>
        <w:t xml:space="preserve"> párrafo primero: en lugar de la referencia a la sección que se consignó erróneamente,</w:t>
      </w:r>
      <w:r w:rsidRPr="00881853" w:rsidDel="0005181A">
        <w:rPr>
          <w:rFonts w:ascii="Arial" w:hAnsi="Arial" w:cs="Arial"/>
          <w:sz w:val="20"/>
          <w:szCs w:val="20"/>
        </w:rPr>
        <w:t xml:space="preserve"> </w:t>
      </w:r>
      <w:r w:rsidRPr="00881853">
        <w:rPr>
          <w:rFonts w:ascii="Arial" w:hAnsi="Arial" w:cs="Arial"/>
          <w:sz w:val="20"/>
          <w:szCs w:val="20"/>
        </w:rPr>
        <w:t>léase correctamente: “</w:t>
      </w:r>
      <w:r w:rsidRPr="00881853">
        <w:rPr>
          <w:rFonts w:ascii="Arial" w:hAnsi="Arial" w:cs="Arial"/>
          <w:i/>
          <w:sz w:val="20"/>
          <w:szCs w:val="20"/>
        </w:rPr>
        <w:t>sección 2.6”</w:t>
      </w:r>
      <w:r w:rsidRPr="00881853">
        <w:rPr>
          <w:rFonts w:ascii="Arial" w:hAnsi="Arial" w:cs="Arial"/>
          <w:sz w:val="20"/>
          <w:szCs w:val="20"/>
        </w:rPr>
        <w:t>.</w:t>
      </w:r>
    </w:p>
    <w:p w:rsidR="00881853" w:rsidRPr="00881853" w:rsidRDefault="00881853" w:rsidP="00881853">
      <w:pPr>
        <w:ind w:left="720"/>
        <w:contextualSpacing/>
        <w:rPr>
          <w:rFonts w:ascii="Arial" w:hAnsi="Arial" w:cs="Arial"/>
          <w:sz w:val="20"/>
          <w:szCs w:val="20"/>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t>Sección 2.10, inciso a., párrafo primero: en lugar de la referencia a la sección que se consignó erróneamente, léase correctamente: “</w:t>
      </w:r>
      <w:r w:rsidRPr="00881853">
        <w:rPr>
          <w:rFonts w:ascii="Arial" w:hAnsi="Arial" w:cs="Arial"/>
          <w:i/>
          <w:sz w:val="20"/>
          <w:szCs w:val="20"/>
        </w:rPr>
        <w:t>punto 1.2</w:t>
      </w:r>
      <w:r w:rsidRPr="00881853">
        <w:rPr>
          <w:rFonts w:ascii="Arial" w:hAnsi="Arial" w:cs="Arial"/>
          <w:sz w:val="20"/>
          <w:szCs w:val="20"/>
        </w:rPr>
        <w:t>”.</w:t>
      </w:r>
    </w:p>
    <w:p w:rsidR="00881853" w:rsidRPr="00881853" w:rsidRDefault="00881853" w:rsidP="00881853">
      <w:pPr>
        <w:ind w:left="567" w:right="142"/>
        <w:jc w:val="both"/>
        <w:rPr>
          <w:rFonts w:ascii="Arial" w:hAnsi="Arial" w:cs="Arial"/>
          <w:sz w:val="20"/>
          <w:szCs w:val="20"/>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lastRenderedPageBreak/>
        <w:t>Sección 2.10, inciso a., párrafo segundo: en lugar de la referencia a la sección que se consignó erróneamente,</w:t>
      </w:r>
      <w:r w:rsidRPr="00881853" w:rsidDel="0005181A">
        <w:rPr>
          <w:rFonts w:ascii="Arial" w:hAnsi="Arial" w:cs="Arial"/>
          <w:sz w:val="20"/>
          <w:szCs w:val="20"/>
        </w:rPr>
        <w:t xml:space="preserve"> </w:t>
      </w:r>
      <w:r w:rsidRPr="00881853">
        <w:rPr>
          <w:rFonts w:ascii="Arial" w:hAnsi="Arial" w:cs="Arial"/>
          <w:sz w:val="20"/>
          <w:szCs w:val="20"/>
        </w:rPr>
        <w:t>léase correctamente: “</w:t>
      </w:r>
      <w:r w:rsidRPr="00881853">
        <w:rPr>
          <w:rFonts w:ascii="Arial" w:hAnsi="Arial" w:cs="Arial"/>
          <w:i/>
          <w:sz w:val="20"/>
          <w:szCs w:val="20"/>
        </w:rPr>
        <w:t>sección 2.3</w:t>
      </w:r>
      <w:r w:rsidRPr="00881853">
        <w:rPr>
          <w:rFonts w:ascii="Arial" w:hAnsi="Arial" w:cs="Arial"/>
          <w:sz w:val="20"/>
          <w:szCs w:val="20"/>
        </w:rPr>
        <w:t>”.</w:t>
      </w:r>
    </w:p>
    <w:p w:rsidR="00881853" w:rsidRPr="00881853" w:rsidRDefault="00881853" w:rsidP="00881853">
      <w:pPr>
        <w:ind w:left="567" w:right="142"/>
        <w:jc w:val="both"/>
        <w:rPr>
          <w:rFonts w:ascii="Arial" w:hAnsi="Arial" w:cs="Arial"/>
          <w:sz w:val="20"/>
          <w:szCs w:val="20"/>
        </w:rPr>
      </w:pPr>
    </w:p>
    <w:p w:rsidR="00881853" w:rsidRPr="00881853" w:rsidRDefault="00881853" w:rsidP="00881853">
      <w:pPr>
        <w:numPr>
          <w:ilvl w:val="0"/>
          <w:numId w:val="9"/>
        </w:numPr>
        <w:ind w:left="567" w:right="142"/>
        <w:contextualSpacing/>
        <w:jc w:val="both"/>
        <w:rPr>
          <w:rFonts w:ascii="Arial" w:hAnsi="Arial" w:cs="Arial"/>
          <w:sz w:val="20"/>
          <w:szCs w:val="20"/>
        </w:rPr>
      </w:pPr>
      <w:r w:rsidRPr="00881853">
        <w:rPr>
          <w:rFonts w:ascii="Arial" w:hAnsi="Arial" w:cs="Arial"/>
          <w:sz w:val="20"/>
          <w:szCs w:val="20"/>
        </w:rPr>
        <w:t>Sección 2.10, inciso b., subinciso b.: en lugar de la referencia a la sección que se consignó erróneamente,</w:t>
      </w:r>
      <w:r w:rsidRPr="00881853" w:rsidDel="0005181A">
        <w:rPr>
          <w:rFonts w:ascii="Arial" w:hAnsi="Arial" w:cs="Arial"/>
          <w:sz w:val="20"/>
          <w:szCs w:val="20"/>
        </w:rPr>
        <w:t xml:space="preserve"> </w:t>
      </w:r>
      <w:r w:rsidRPr="00881853">
        <w:rPr>
          <w:rFonts w:ascii="Arial" w:hAnsi="Arial" w:cs="Arial"/>
          <w:sz w:val="20"/>
          <w:szCs w:val="20"/>
        </w:rPr>
        <w:t>léase correctamente: “</w:t>
      </w:r>
      <w:r w:rsidRPr="00881853">
        <w:rPr>
          <w:rFonts w:ascii="Arial" w:hAnsi="Arial" w:cs="Arial"/>
          <w:i/>
          <w:sz w:val="20"/>
          <w:szCs w:val="20"/>
        </w:rPr>
        <w:t>sección 2.3</w:t>
      </w:r>
      <w:r w:rsidRPr="00881853">
        <w:rPr>
          <w:rFonts w:ascii="Arial" w:hAnsi="Arial" w:cs="Arial"/>
          <w:sz w:val="20"/>
          <w:szCs w:val="20"/>
        </w:rPr>
        <w:t>”.</w:t>
      </w:r>
    </w:p>
    <w:p w:rsidR="00881853" w:rsidRPr="00881853" w:rsidRDefault="00881853" w:rsidP="00881853">
      <w:pPr>
        <w:ind w:right="199"/>
        <w:jc w:val="both"/>
        <w:rPr>
          <w:rFonts w:ascii="Arial" w:hAnsi="Arial" w:cs="Arial"/>
          <w:sz w:val="20"/>
          <w:szCs w:val="20"/>
        </w:rPr>
      </w:pPr>
    </w:p>
    <w:p w:rsidR="00881853" w:rsidRPr="00881853" w:rsidRDefault="00881853" w:rsidP="00881853">
      <w:pPr>
        <w:ind w:left="180" w:right="199"/>
        <w:jc w:val="both"/>
        <w:rPr>
          <w:rFonts w:ascii="Arial" w:hAnsi="Arial" w:cs="Arial"/>
          <w:sz w:val="20"/>
          <w:szCs w:val="20"/>
        </w:rPr>
      </w:pPr>
    </w:p>
    <w:p w:rsidR="00881853" w:rsidRPr="00881853" w:rsidRDefault="00881853" w:rsidP="00881853">
      <w:pPr>
        <w:keepNext/>
        <w:ind w:right="199"/>
        <w:jc w:val="both"/>
        <w:outlineLvl w:val="4"/>
        <w:rPr>
          <w:rFonts w:ascii="Arial" w:hAnsi="Arial" w:cs="Arial"/>
          <w:b/>
          <w:sz w:val="20"/>
          <w:szCs w:val="20"/>
          <w:lang w:eastAsia="en-US"/>
        </w:rPr>
      </w:pPr>
      <w:r w:rsidRPr="00881853">
        <w:rPr>
          <w:rFonts w:ascii="Arial" w:hAnsi="Arial" w:cs="Arial"/>
          <w:b/>
          <w:sz w:val="20"/>
          <w:szCs w:val="20"/>
          <w:lang w:eastAsia="en-US"/>
        </w:rPr>
        <w:t>NOTIFÍQUESE Y PUBLÍQUESE</w:t>
      </w:r>
    </w:p>
    <w:p w:rsidR="00905BEB" w:rsidRPr="00881853" w:rsidRDefault="00905BEB" w:rsidP="00905BEB">
      <w:pPr>
        <w:jc w:val="both"/>
        <w:rPr>
          <w:rFonts w:ascii="Arial" w:hAnsi="Arial" w:cs="Arial"/>
          <w:sz w:val="20"/>
          <w:szCs w:val="20"/>
        </w:rPr>
      </w:pPr>
    </w:p>
    <w:p w:rsidR="00D165A5" w:rsidRPr="00881853" w:rsidRDefault="00D165A5" w:rsidP="00D165A5">
      <w:pPr>
        <w:jc w:val="both"/>
        <w:rPr>
          <w:rFonts w:ascii="Arial" w:hAnsi="Arial" w:cs="Arial"/>
          <w:sz w:val="20"/>
          <w:szCs w:val="20"/>
        </w:rPr>
      </w:pPr>
    </w:p>
    <w:p w:rsidR="009C151B" w:rsidRPr="00881853" w:rsidRDefault="009C151B" w:rsidP="00D165A5">
      <w:pPr>
        <w:jc w:val="both"/>
        <w:rPr>
          <w:rFonts w:ascii="Arial" w:hAnsi="Arial" w:cs="Arial"/>
          <w:sz w:val="20"/>
          <w:szCs w:val="20"/>
        </w:rPr>
      </w:pPr>
    </w:p>
    <w:p w:rsidR="00194ED2" w:rsidRPr="00881853" w:rsidRDefault="00194ED2">
      <w:pPr>
        <w:rPr>
          <w:rFonts w:ascii="Arial" w:hAnsi="Arial" w:cs="Arial"/>
          <w:sz w:val="20"/>
          <w:szCs w:val="20"/>
        </w:rPr>
      </w:pPr>
    </w:p>
    <w:p w:rsidR="00194ED2" w:rsidRPr="00881853" w:rsidRDefault="00194ED2" w:rsidP="00194ED2">
      <w:pPr>
        <w:pStyle w:val="Textoindependiente"/>
        <w:tabs>
          <w:tab w:val="left" w:pos="567"/>
        </w:tabs>
        <w:ind w:right="-1"/>
        <w:rPr>
          <w:rFonts w:ascii="Arial" w:hAnsi="Arial" w:cs="Arial"/>
          <w:b/>
          <w:sz w:val="20"/>
          <w:szCs w:val="20"/>
          <w:lang w:val="es-ES"/>
        </w:rPr>
      </w:pPr>
      <w:r w:rsidRPr="00881853">
        <w:rPr>
          <w:rFonts w:ascii="Arial" w:hAnsi="Arial" w:cs="Arial"/>
          <w:b/>
          <w:sz w:val="20"/>
          <w:szCs w:val="20"/>
          <w:lang w:val="es-ES"/>
        </w:rPr>
        <w:t>DENNIS MELENDEZ HOWELL</w:t>
      </w:r>
      <w:r w:rsidRPr="00881853">
        <w:rPr>
          <w:rFonts w:ascii="Arial" w:hAnsi="Arial" w:cs="Arial"/>
          <w:b/>
          <w:sz w:val="20"/>
          <w:szCs w:val="20"/>
          <w:lang w:val="es-ES"/>
        </w:rPr>
        <w:tab/>
      </w:r>
      <w:r w:rsidRPr="00881853">
        <w:rPr>
          <w:rFonts w:ascii="Arial" w:hAnsi="Arial" w:cs="Arial"/>
          <w:b/>
          <w:sz w:val="20"/>
          <w:szCs w:val="20"/>
          <w:lang w:val="es-ES"/>
        </w:rPr>
        <w:tab/>
      </w:r>
      <w:r w:rsidRPr="00881853">
        <w:rPr>
          <w:rFonts w:ascii="Arial" w:hAnsi="Arial" w:cs="Arial"/>
          <w:b/>
          <w:sz w:val="20"/>
          <w:szCs w:val="20"/>
          <w:lang w:val="es-ES"/>
        </w:rPr>
        <w:tab/>
        <w:t>ALFREDO CORDERO CHINCHILLA</w:t>
      </w:r>
    </w:p>
    <w:p w:rsidR="00194ED2" w:rsidRPr="00881853" w:rsidRDefault="00194ED2" w:rsidP="00194ED2">
      <w:pPr>
        <w:pStyle w:val="Textoindependiente"/>
        <w:tabs>
          <w:tab w:val="left" w:pos="567"/>
        </w:tabs>
        <w:ind w:right="-1"/>
        <w:rPr>
          <w:rFonts w:ascii="Arial" w:hAnsi="Arial" w:cs="Arial"/>
          <w:b/>
          <w:sz w:val="20"/>
          <w:szCs w:val="20"/>
        </w:rPr>
      </w:pPr>
      <w:r w:rsidRPr="00881853">
        <w:rPr>
          <w:rFonts w:ascii="Arial" w:hAnsi="Arial" w:cs="Arial"/>
          <w:b/>
          <w:sz w:val="20"/>
          <w:szCs w:val="20"/>
        </w:rPr>
        <w:t>PRESIDENTE JUNTA DIRECTIVA</w:t>
      </w:r>
      <w:r w:rsidRPr="00881853">
        <w:rPr>
          <w:rFonts w:ascii="Arial" w:hAnsi="Arial" w:cs="Arial"/>
          <w:b/>
          <w:sz w:val="20"/>
          <w:szCs w:val="20"/>
        </w:rPr>
        <w:tab/>
      </w:r>
      <w:r w:rsidRPr="00881853">
        <w:rPr>
          <w:rFonts w:ascii="Arial" w:hAnsi="Arial" w:cs="Arial"/>
          <w:b/>
          <w:sz w:val="20"/>
          <w:szCs w:val="20"/>
        </w:rPr>
        <w:tab/>
        <w:t xml:space="preserve">           SECRETARIO JUNTA DIRECTIVA</w:t>
      </w:r>
    </w:p>
    <w:p w:rsidR="00194ED2" w:rsidRPr="00881853" w:rsidRDefault="00194ED2">
      <w:pPr>
        <w:rPr>
          <w:rFonts w:ascii="Arial" w:hAnsi="Arial" w:cs="Arial"/>
          <w:sz w:val="20"/>
          <w:szCs w:val="20"/>
          <w:lang w:val="es-ES_tradnl"/>
        </w:rPr>
      </w:pPr>
    </w:p>
    <w:p w:rsidR="00625EE3" w:rsidRPr="00881853" w:rsidRDefault="00625EE3">
      <w:pPr>
        <w:spacing w:after="200" w:line="276" w:lineRule="auto"/>
        <w:rPr>
          <w:rFonts w:ascii="Arial" w:hAnsi="Arial" w:cs="Arial"/>
          <w:sz w:val="20"/>
          <w:szCs w:val="20"/>
        </w:rPr>
      </w:pPr>
      <w:r w:rsidRPr="00881853">
        <w:rPr>
          <w:rFonts w:ascii="Arial" w:hAnsi="Arial" w:cs="Arial"/>
          <w:sz w:val="20"/>
          <w:szCs w:val="20"/>
        </w:rPr>
        <w:br w:type="page"/>
      </w:r>
    </w:p>
    <w:p w:rsidR="00625EE3" w:rsidRPr="00881853" w:rsidRDefault="00625EE3" w:rsidP="00625EE3">
      <w:pPr>
        <w:spacing w:line="276" w:lineRule="auto"/>
        <w:jc w:val="center"/>
        <w:rPr>
          <w:rFonts w:ascii="Arial" w:hAnsi="Arial" w:cs="Arial"/>
          <w:b/>
          <w:sz w:val="20"/>
          <w:szCs w:val="20"/>
          <w:u w:val="single"/>
        </w:rPr>
      </w:pPr>
      <w:r w:rsidRPr="00881853">
        <w:rPr>
          <w:rFonts w:ascii="Arial" w:hAnsi="Arial" w:cs="Arial"/>
          <w:b/>
          <w:sz w:val="20"/>
          <w:szCs w:val="20"/>
          <w:u w:val="single"/>
        </w:rPr>
        <w:lastRenderedPageBreak/>
        <w:t>NOTIFICACIONES</w:t>
      </w:r>
    </w:p>
    <w:p w:rsidR="00625EE3" w:rsidRPr="00881853" w:rsidRDefault="00625EE3" w:rsidP="00625EE3">
      <w:pPr>
        <w:spacing w:line="276" w:lineRule="auto"/>
        <w:jc w:val="center"/>
        <w:rPr>
          <w:rFonts w:ascii="Arial" w:hAnsi="Arial" w:cs="Arial"/>
          <w:b/>
          <w:sz w:val="20"/>
          <w:szCs w:val="20"/>
        </w:rPr>
      </w:pP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COMUNICACION. Se comunica la presente resolución, a la Dirección de Servicios de Transporte en San José, a las _____ horas del ____ de______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Ignacio Barquero Guevara, al correo electrónico fabiobarquero@hotmail.es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 xml:space="preserve">CONSTANCIA DE NOTIFICACIÓN. Se notifica la resolución anterior a la Defensoría de los Habitantes, representada por Ana Karina Zeledón Lépiz, Directora de Asuntos Económicos, y Rodney Lazo Murillo, al Fax 2248-2527. San José, a las ___ horas del _____ de ____________ del 2012. </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Luis Gómez Chaves, al telefax 2261-4431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 xml:space="preserve">CONSTANCIA DE NOTIFICACIÓN. Se notifica la resolución anterior al </w:t>
      </w:r>
      <w:r w:rsidRPr="00881853">
        <w:rPr>
          <w:sz w:val="20"/>
          <w:szCs w:val="20"/>
        </w:rPr>
        <w:t>señor Daniel Fernández Sánchez, Consejero del Usuario, ARESEP, en la Dirección General de Participación del Usuario, ARESEP, Guachipelín de Escazú</w:t>
      </w:r>
      <w:r w:rsidRPr="00881853">
        <w:rPr>
          <w:color w:val="auto"/>
          <w:sz w:val="20"/>
          <w:szCs w:val="20"/>
        </w:rPr>
        <w:t xml:space="preserve">. San José, a las ___ horas del _____ de ____________ del 2012. </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 xml:space="preserve">CONSTANCIA DE NOTIFICACIÓN. Se notifica la resolución anterior a Consumidores de Costa Rica, representada por Erick Ulate Quesada y Gilberto Campos Cruz, Presidente y Vicepresidente, al Fax 2248-9986 o al correo electrónico eulate@consumidoresdecostarica.org San José, a las ___ horas del _____ de ____________ del 2012. </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w:t>
      </w:r>
      <w:r w:rsidRPr="00881853">
        <w:rPr>
          <w:sz w:val="20"/>
          <w:szCs w:val="20"/>
        </w:rPr>
        <w:t xml:space="preserve">l Foro Nacional de Transporte por Autobús: Asociación Cámara Nacional de Transportes, representada por Maritza Hernández Castañeda, al Fax 2283-1712.  </w:t>
      </w:r>
      <w:r w:rsidRPr="00881853">
        <w:rPr>
          <w:color w:val="auto"/>
          <w:sz w:val="20"/>
          <w:szCs w:val="20"/>
        </w:rPr>
        <w:t>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w:t>
      </w:r>
      <w:r w:rsidRPr="00881853">
        <w:rPr>
          <w:sz w:val="20"/>
          <w:szCs w:val="20"/>
        </w:rPr>
        <w:t>l señor Sigifredo Guevara Díaz, al correo electrónico sguevarad@gmail.com</w:t>
      </w:r>
      <w:r w:rsidRPr="00881853">
        <w:rPr>
          <w:color w:val="auto"/>
          <w:sz w:val="20"/>
          <w:szCs w:val="20"/>
        </w:rPr>
        <w:t xml:space="preserve">. San José, a las ___ horas del _____ de ____________ del 2012. </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w:t>
      </w:r>
      <w:r w:rsidRPr="00881853">
        <w:rPr>
          <w:sz w:val="20"/>
          <w:szCs w:val="20"/>
        </w:rPr>
        <w:t>l señor Leonardo Déreck Meneses Soto</w:t>
      </w:r>
      <w:r w:rsidRPr="00881853">
        <w:rPr>
          <w:color w:val="auto"/>
          <w:sz w:val="20"/>
          <w:szCs w:val="20"/>
        </w:rPr>
        <w:t xml:space="preserve">, al </w:t>
      </w:r>
      <w:r w:rsidRPr="00881853">
        <w:rPr>
          <w:sz w:val="20"/>
          <w:szCs w:val="20"/>
        </w:rPr>
        <w:t>apartado postal 1031-1011 Y Griega</w:t>
      </w:r>
      <w:r w:rsidRPr="00881853">
        <w:rPr>
          <w:color w:val="auto"/>
          <w:sz w:val="20"/>
          <w:szCs w:val="20"/>
        </w:rPr>
        <w:t xml:space="preserve">. San José, a las ___ horas del _____ de ____________ del 2012. </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Enrique Chaves Sanabria</w:t>
      </w:r>
      <w:r w:rsidRPr="00881853">
        <w:rPr>
          <w:sz w:val="20"/>
          <w:szCs w:val="20"/>
          <w:lang w:val="es-ES"/>
        </w:rPr>
        <w:t xml:space="preserve">, </w:t>
      </w:r>
      <w:r w:rsidRPr="00881853">
        <w:rPr>
          <w:sz w:val="20"/>
          <w:szCs w:val="20"/>
        </w:rPr>
        <w:t>al correo electrónico dacostro@gmail.com.</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 xml:space="preserve">CONSTANCIA DE NOTIFICACIÓN. Se notifica la resolución anterior, a la Asociación Nacional de Protección al Usuario de los Servicios Públicos, </w:t>
      </w:r>
      <w:r w:rsidRPr="00881853">
        <w:rPr>
          <w:sz w:val="20"/>
          <w:szCs w:val="20"/>
        </w:rPr>
        <w:t xml:space="preserve">representada por José Antonio Rojas Hernández, al correo electrónico joseantonio529@hotmail.com, derechospublicos@hotmail.com.  </w:t>
      </w:r>
      <w:r w:rsidRPr="00881853">
        <w:rPr>
          <w:color w:val="auto"/>
          <w:sz w:val="20"/>
          <w:szCs w:val="20"/>
        </w:rPr>
        <w:t>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lastRenderedPageBreak/>
        <w:t>CONSTANCIA DE NOTIFICACIÓN. Se notifica la resolución anterior al señor Martin Olman Bonilla Oconitrillo</w:t>
      </w:r>
      <w:r w:rsidRPr="00881853">
        <w:rPr>
          <w:sz w:val="20"/>
          <w:szCs w:val="20"/>
          <w:lang w:val="es-ES"/>
        </w:rPr>
        <w:t xml:space="preserve">, </w:t>
      </w:r>
      <w:r w:rsidRPr="00881853">
        <w:rPr>
          <w:sz w:val="20"/>
          <w:szCs w:val="20"/>
        </w:rPr>
        <w:t>al correo electrónico olmanbo@yahoo.com.</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Jorge Enrique Arce Arce</w:t>
      </w:r>
      <w:r w:rsidRPr="00881853">
        <w:rPr>
          <w:sz w:val="20"/>
          <w:szCs w:val="20"/>
          <w:lang w:val="es-ES"/>
        </w:rPr>
        <w:t xml:space="preserve">, </w:t>
      </w:r>
      <w:r w:rsidRPr="00881853">
        <w:rPr>
          <w:sz w:val="20"/>
          <w:szCs w:val="20"/>
        </w:rPr>
        <w:t>a la dirección Cartago, Paraíso, Cachí, 100 metros al norte del Cementerio.</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Jairo Ramírez Vega</w:t>
      </w:r>
      <w:r w:rsidRPr="00881853">
        <w:rPr>
          <w:sz w:val="20"/>
          <w:szCs w:val="20"/>
          <w:lang w:val="es-ES"/>
        </w:rPr>
        <w:t xml:space="preserve">, </w:t>
      </w:r>
      <w:r w:rsidRPr="00881853">
        <w:rPr>
          <w:sz w:val="20"/>
          <w:szCs w:val="20"/>
        </w:rPr>
        <w:t>al correo electrónico alban351@hotmail.com.</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María del Pilar Boza Rodríguez</w:t>
      </w:r>
      <w:r w:rsidRPr="00881853">
        <w:rPr>
          <w:sz w:val="20"/>
          <w:szCs w:val="20"/>
          <w:lang w:val="es-ES"/>
        </w:rPr>
        <w:t xml:space="preserve">, </w:t>
      </w:r>
      <w:r w:rsidRPr="00881853">
        <w:rPr>
          <w:sz w:val="20"/>
          <w:szCs w:val="20"/>
        </w:rPr>
        <w:t>al correo electrónico piliboro@costarricense.cr</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Marlene Claudel Ortiz</w:t>
      </w:r>
      <w:r w:rsidRPr="00881853">
        <w:rPr>
          <w:sz w:val="20"/>
          <w:szCs w:val="20"/>
          <w:lang w:val="es-ES"/>
        </w:rPr>
        <w:t xml:space="preserve">, </w:t>
      </w:r>
      <w:r w:rsidRPr="00881853">
        <w:rPr>
          <w:sz w:val="20"/>
          <w:szCs w:val="20"/>
        </w:rPr>
        <w:t>a la dirección Santiago de Paraíso, Calle Cementerio, frente a finca Los Conejos.</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Fanny María Vega Cordero</w:t>
      </w:r>
      <w:r w:rsidRPr="00881853">
        <w:rPr>
          <w:sz w:val="20"/>
          <w:szCs w:val="20"/>
          <w:lang w:val="es-ES"/>
        </w:rPr>
        <w:t xml:space="preserve">, </w:t>
      </w:r>
      <w:r w:rsidRPr="00881853">
        <w:rPr>
          <w:sz w:val="20"/>
          <w:szCs w:val="20"/>
        </w:rPr>
        <w:t>al correo electrónico fproveedorescr@yahoo.es</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Kasey Andrea Ramírez Vega</w:t>
      </w:r>
      <w:r w:rsidRPr="00881853">
        <w:rPr>
          <w:sz w:val="20"/>
          <w:szCs w:val="20"/>
          <w:lang w:val="es-ES"/>
        </w:rPr>
        <w:t xml:space="preserve">, </w:t>
      </w:r>
      <w:r w:rsidRPr="00881853">
        <w:rPr>
          <w:sz w:val="20"/>
          <w:szCs w:val="20"/>
        </w:rPr>
        <w:t>al correo electrónico alban351@hotmail.com.</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Stefanny Zamora Madriz</w:t>
      </w:r>
      <w:r w:rsidRPr="00881853">
        <w:rPr>
          <w:sz w:val="20"/>
          <w:szCs w:val="20"/>
          <w:lang w:val="es-ES"/>
        </w:rPr>
        <w:t xml:space="preserve">, </w:t>
      </w:r>
      <w:r w:rsidRPr="00881853">
        <w:rPr>
          <w:sz w:val="20"/>
          <w:szCs w:val="20"/>
        </w:rPr>
        <w:t>al correo electrónico tatyozamora87@gmail.com.</w:t>
      </w:r>
      <w:r w:rsidRPr="00881853">
        <w:rPr>
          <w:color w:val="auto"/>
          <w:sz w:val="20"/>
          <w:szCs w:val="20"/>
        </w:rPr>
        <w:t xml:space="preserve"> 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al señor Joaquín Rodolfo Redondo Vega</w:t>
      </w:r>
      <w:r w:rsidRPr="00881853">
        <w:rPr>
          <w:sz w:val="20"/>
          <w:szCs w:val="20"/>
          <w:lang w:val="es-ES"/>
        </w:rPr>
        <w:t xml:space="preserve">, </w:t>
      </w:r>
      <w:r w:rsidRPr="00881853">
        <w:rPr>
          <w:sz w:val="20"/>
          <w:szCs w:val="20"/>
        </w:rPr>
        <w:t xml:space="preserve">a la dirección 200 metros al norte y 25 este de la Iglesia Católica, La Flor de Paraíso. </w:t>
      </w:r>
      <w:r w:rsidRPr="00881853">
        <w:rPr>
          <w:color w:val="auto"/>
          <w:sz w:val="20"/>
          <w:szCs w:val="20"/>
        </w:rPr>
        <w:t>San José, a las ___ horas del _____ de ____________ del 2012.</w:t>
      </w:r>
    </w:p>
    <w:p w:rsidR="00625EE3" w:rsidRPr="00881853" w:rsidRDefault="00625EE3" w:rsidP="00625EE3">
      <w:pPr>
        <w:pStyle w:val="Default"/>
        <w:numPr>
          <w:ilvl w:val="0"/>
          <w:numId w:val="6"/>
        </w:numPr>
        <w:spacing w:before="240" w:after="240"/>
        <w:ind w:left="426" w:right="-851" w:hanging="426"/>
        <w:jc w:val="both"/>
        <w:rPr>
          <w:color w:val="auto"/>
          <w:sz w:val="20"/>
          <w:szCs w:val="20"/>
        </w:rPr>
      </w:pPr>
      <w:r w:rsidRPr="00881853">
        <w:rPr>
          <w:color w:val="auto"/>
          <w:sz w:val="20"/>
          <w:szCs w:val="20"/>
        </w:rPr>
        <w:t>CONSTANCIA DE NOTIFICACIÓN. Se notifica la resolución anterior a la señora Matilde Mata Bonilla, al correo electrónico matimata1@hotmail.com. San José, a las ___ horas del _____ de ____________ del 2012.</w:t>
      </w:r>
    </w:p>
    <w:p w:rsidR="0051189C" w:rsidRPr="00881853" w:rsidRDefault="0051189C" w:rsidP="0051189C">
      <w:pPr>
        <w:ind w:right="-1"/>
        <w:jc w:val="both"/>
        <w:rPr>
          <w:rFonts w:ascii="Arial" w:hAnsi="Arial" w:cs="Arial"/>
          <w:sz w:val="20"/>
          <w:szCs w:val="20"/>
        </w:rPr>
      </w:pPr>
    </w:p>
    <w:sectPr w:rsidR="0051189C" w:rsidRPr="00881853" w:rsidSect="00B21FA4">
      <w:headerReference w:type="default" r:id="rId8"/>
      <w:footerReference w:type="default" r:id="rId9"/>
      <w:pgSz w:w="12240" w:h="15840" w:code="1"/>
      <w:pgMar w:top="1417" w:right="1841" w:bottom="1417" w:left="1701" w:header="708" w:footer="10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EF" w:rsidRDefault="00071BEF" w:rsidP="00590A2E">
      <w:r>
        <w:separator/>
      </w:r>
    </w:p>
  </w:endnote>
  <w:endnote w:type="continuationSeparator" w:id="0">
    <w:p w:rsidR="00071BEF" w:rsidRDefault="00071BEF" w:rsidP="0059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9" w:rsidRDefault="00325A59">
    <w:pPr>
      <w:rPr>
        <w:rFonts w:ascii="Arial" w:hAnsi="Arial" w:cs="Arial"/>
        <w:b/>
        <w:sz w:val="18"/>
        <w:szCs w:val="18"/>
        <w:lang w:val="es-ES"/>
      </w:rPr>
    </w:pPr>
  </w:p>
  <w:p w:rsidR="00325A59" w:rsidRDefault="00325A59">
    <w:pPr>
      <w:rPr>
        <w:rFonts w:ascii="Arial" w:hAnsi="Arial" w:cs="Arial"/>
        <w:b/>
        <w:sz w:val="18"/>
        <w:szCs w:val="18"/>
        <w:lang w:val="es-ES"/>
      </w:rPr>
    </w:pPr>
  </w:p>
  <w:p w:rsidR="00325A59" w:rsidRPr="00590A2E" w:rsidRDefault="00325A59">
    <w:pPr>
      <w:rPr>
        <w:rFonts w:ascii="Arial" w:hAnsi="Arial" w:cs="Arial"/>
        <w:b/>
        <w:sz w:val="18"/>
        <w:szCs w:val="18"/>
        <w:lang w:val="es-ES"/>
      </w:rPr>
    </w:pPr>
    <w:r w:rsidRPr="00590A2E">
      <w:rPr>
        <w:rFonts w:ascii="Arial" w:hAnsi="Arial" w:cs="Arial"/>
        <w:b/>
        <w:sz w:val="18"/>
        <w:szCs w:val="18"/>
        <w:lang w:val="es-ES"/>
      </w:rPr>
      <w:t>RJD-</w:t>
    </w:r>
    <w:r w:rsidR="009C151B">
      <w:rPr>
        <w:rFonts w:ascii="Arial" w:hAnsi="Arial" w:cs="Arial"/>
        <w:b/>
        <w:sz w:val="18"/>
        <w:szCs w:val="18"/>
        <w:lang w:val="es-ES"/>
      </w:rPr>
      <w:t>141</w:t>
    </w:r>
    <w:r w:rsidRPr="00590A2E">
      <w:rPr>
        <w:rFonts w:ascii="Arial" w:hAnsi="Arial" w:cs="Arial"/>
        <w:b/>
        <w:sz w:val="18"/>
        <w:szCs w:val="18"/>
        <w:lang w:val="es-ES"/>
      </w:rPr>
      <w:t>-201</w:t>
    </w:r>
    <w:r>
      <w:rPr>
        <w:rFonts w:ascii="Arial" w:hAnsi="Arial" w:cs="Arial"/>
        <w:b/>
        <w:sz w:val="18"/>
        <w:szCs w:val="18"/>
        <w:lang w:val="es-ES"/>
      </w:rPr>
      <w:t>2</w:t>
    </w:r>
    <w:r w:rsidRPr="00590A2E">
      <w:rPr>
        <w:rFonts w:ascii="Arial" w:hAnsi="Arial" w:cs="Arial"/>
        <w:b/>
        <w:sz w:val="18"/>
        <w:szCs w:val="18"/>
        <w:lang w:val="es-ES"/>
      </w:rPr>
      <w:tab/>
    </w:r>
    <w:r w:rsidRPr="00590A2E">
      <w:rPr>
        <w:rFonts w:ascii="Arial" w:hAnsi="Arial" w:cs="Arial"/>
        <w:b/>
        <w:sz w:val="18"/>
        <w:szCs w:val="18"/>
        <w:lang w:val="es-ES"/>
      </w:rPr>
      <w:tab/>
    </w:r>
    <w:sdt>
      <w:sdtPr>
        <w:rPr>
          <w:rFonts w:ascii="Arial" w:hAnsi="Arial" w:cs="Arial"/>
          <w:b/>
          <w:sz w:val="18"/>
          <w:szCs w:val="18"/>
          <w:lang w:val="es-ES"/>
        </w:rPr>
        <w:id w:val="652719086"/>
        <w:docPartObj>
          <w:docPartGallery w:val="Page Numbers (Top of Page)"/>
          <w:docPartUnique/>
        </w:docPartObj>
      </w:sdtPr>
      <w:sdtEndPr/>
      <w:sdtContent>
        <w:r w:rsidRPr="00590A2E">
          <w:rPr>
            <w:rFonts w:ascii="Arial" w:hAnsi="Arial" w:cs="Arial"/>
            <w:b/>
            <w:sz w:val="18"/>
            <w:szCs w:val="18"/>
            <w:lang w:val="es-ES"/>
          </w:rPr>
          <w:tab/>
        </w:r>
        <w:r w:rsidRPr="00590A2E">
          <w:rPr>
            <w:rFonts w:ascii="Arial" w:hAnsi="Arial" w:cs="Arial"/>
            <w:b/>
            <w:sz w:val="18"/>
            <w:szCs w:val="18"/>
            <w:lang w:val="es-ES"/>
          </w:rPr>
          <w:tab/>
        </w:r>
        <w:r w:rsidRPr="00590A2E">
          <w:rPr>
            <w:rFonts w:ascii="Arial" w:hAnsi="Arial" w:cs="Arial"/>
            <w:b/>
            <w:sz w:val="18"/>
            <w:szCs w:val="18"/>
            <w:lang w:val="es-ES"/>
          </w:rPr>
          <w:tab/>
        </w:r>
        <w:r w:rsidRPr="00590A2E">
          <w:rPr>
            <w:rFonts w:ascii="Arial" w:hAnsi="Arial" w:cs="Arial"/>
            <w:b/>
            <w:sz w:val="18"/>
            <w:szCs w:val="18"/>
            <w:lang w:val="es-ES"/>
          </w:rPr>
          <w:tab/>
        </w:r>
        <w:r w:rsidRPr="00590A2E">
          <w:rPr>
            <w:rFonts w:ascii="Arial" w:hAnsi="Arial" w:cs="Arial"/>
            <w:b/>
            <w:sz w:val="18"/>
            <w:szCs w:val="18"/>
            <w:lang w:val="es-ES"/>
          </w:rPr>
          <w:tab/>
        </w:r>
        <w:r w:rsidRPr="00590A2E">
          <w:rPr>
            <w:rFonts w:ascii="Arial" w:hAnsi="Arial" w:cs="Arial"/>
            <w:b/>
            <w:sz w:val="18"/>
            <w:szCs w:val="18"/>
            <w:lang w:val="es-ES"/>
          </w:rPr>
          <w:tab/>
          <w:t xml:space="preserve">       </w:t>
        </w:r>
        <w:r>
          <w:rPr>
            <w:rFonts w:ascii="Arial" w:hAnsi="Arial" w:cs="Arial"/>
            <w:b/>
            <w:sz w:val="18"/>
            <w:szCs w:val="18"/>
            <w:lang w:val="es-ES"/>
          </w:rPr>
          <w:t xml:space="preserve">  </w:t>
        </w:r>
        <w:r w:rsidR="009C151B">
          <w:rPr>
            <w:rFonts w:ascii="Arial" w:hAnsi="Arial" w:cs="Arial"/>
            <w:b/>
            <w:sz w:val="18"/>
            <w:szCs w:val="18"/>
            <w:lang w:val="es-ES"/>
          </w:rPr>
          <w:t xml:space="preserve">         </w:t>
        </w:r>
        <w:r w:rsidRPr="00590A2E">
          <w:rPr>
            <w:rFonts w:ascii="Arial" w:hAnsi="Arial" w:cs="Arial"/>
            <w:b/>
            <w:sz w:val="18"/>
            <w:szCs w:val="18"/>
            <w:lang w:val="es-ES"/>
          </w:rPr>
          <w:t xml:space="preserve">Página </w:t>
        </w:r>
        <w:r w:rsidRPr="00590A2E">
          <w:rPr>
            <w:rFonts w:ascii="Arial" w:hAnsi="Arial" w:cs="Arial"/>
            <w:b/>
            <w:sz w:val="18"/>
            <w:szCs w:val="18"/>
            <w:lang w:val="es-ES"/>
          </w:rPr>
          <w:fldChar w:fldCharType="begin"/>
        </w:r>
        <w:r w:rsidRPr="00590A2E">
          <w:rPr>
            <w:rFonts w:ascii="Arial" w:hAnsi="Arial" w:cs="Arial"/>
            <w:b/>
            <w:sz w:val="18"/>
            <w:szCs w:val="18"/>
            <w:lang w:val="es-ES"/>
          </w:rPr>
          <w:instrText xml:space="preserve"> PAGE </w:instrText>
        </w:r>
        <w:r w:rsidRPr="00590A2E">
          <w:rPr>
            <w:rFonts w:ascii="Arial" w:hAnsi="Arial" w:cs="Arial"/>
            <w:b/>
            <w:sz w:val="18"/>
            <w:szCs w:val="18"/>
            <w:lang w:val="es-ES"/>
          </w:rPr>
          <w:fldChar w:fldCharType="separate"/>
        </w:r>
        <w:r w:rsidR="0073114C">
          <w:rPr>
            <w:rFonts w:ascii="Arial" w:hAnsi="Arial" w:cs="Arial"/>
            <w:b/>
            <w:noProof/>
            <w:sz w:val="18"/>
            <w:szCs w:val="18"/>
            <w:lang w:val="es-ES"/>
          </w:rPr>
          <w:t>1</w:t>
        </w:r>
        <w:r w:rsidRPr="00590A2E">
          <w:rPr>
            <w:rFonts w:ascii="Arial" w:hAnsi="Arial" w:cs="Arial"/>
            <w:b/>
            <w:sz w:val="18"/>
            <w:szCs w:val="18"/>
            <w:lang w:val="es-ES"/>
          </w:rPr>
          <w:fldChar w:fldCharType="end"/>
        </w:r>
        <w:r w:rsidRPr="00590A2E">
          <w:rPr>
            <w:rFonts w:ascii="Arial" w:hAnsi="Arial" w:cs="Arial"/>
            <w:b/>
            <w:sz w:val="18"/>
            <w:szCs w:val="18"/>
            <w:lang w:val="es-ES"/>
          </w:rPr>
          <w:t xml:space="preserve"> de </w:t>
        </w:r>
        <w:r w:rsidRPr="00590A2E">
          <w:rPr>
            <w:rFonts w:ascii="Arial" w:hAnsi="Arial" w:cs="Arial"/>
            <w:b/>
            <w:sz w:val="18"/>
            <w:szCs w:val="18"/>
            <w:lang w:val="es-ES"/>
          </w:rPr>
          <w:fldChar w:fldCharType="begin"/>
        </w:r>
        <w:r w:rsidRPr="00590A2E">
          <w:rPr>
            <w:rFonts w:ascii="Arial" w:hAnsi="Arial" w:cs="Arial"/>
            <w:b/>
            <w:sz w:val="18"/>
            <w:szCs w:val="18"/>
            <w:lang w:val="es-ES"/>
          </w:rPr>
          <w:instrText xml:space="preserve"> NUMPAGES  </w:instrText>
        </w:r>
        <w:r w:rsidRPr="00590A2E">
          <w:rPr>
            <w:rFonts w:ascii="Arial" w:hAnsi="Arial" w:cs="Arial"/>
            <w:b/>
            <w:sz w:val="18"/>
            <w:szCs w:val="18"/>
            <w:lang w:val="es-ES"/>
          </w:rPr>
          <w:fldChar w:fldCharType="separate"/>
        </w:r>
        <w:r w:rsidR="0073114C">
          <w:rPr>
            <w:rFonts w:ascii="Arial" w:hAnsi="Arial" w:cs="Arial"/>
            <w:b/>
            <w:noProof/>
            <w:sz w:val="18"/>
            <w:szCs w:val="18"/>
            <w:lang w:val="es-ES"/>
          </w:rPr>
          <w:t>7</w:t>
        </w:r>
        <w:r w:rsidRPr="00590A2E">
          <w:rPr>
            <w:rFonts w:ascii="Arial" w:hAnsi="Arial" w:cs="Arial"/>
            <w:b/>
            <w:sz w:val="18"/>
            <w:szCs w:val="18"/>
            <w:lang w:val="es-ES"/>
          </w:rPr>
          <w:fldChar w:fldCharType="end"/>
        </w:r>
      </w:sdtContent>
    </w:sdt>
  </w:p>
  <w:p w:rsidR="00325A59" w:rsidRPr="00590A2E" w:rsidRDefault="00325A5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EF" w:rsidRDefault="00071BEF" w:rsidP="00590A2E">
      <w:r>
        <w:separator/>
      </w:r>
    </w:p>
  </w:footnote>
  <w:footnote w:type="continuationSeparator" w:id="0">
    <w:p w:rsidR="00071BEF" w:rsidRDefault="00071BEF" w:rsidP="00590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9" w:rsidRDefault="00325A59" w:rsidP="00590A2E">
    <w:pPr>
      <w:pStyle w:val="Encabezado"/>
    </w:pPr>
    <w:bookmarkStart w:id="1" w:name="OLE_LINK1"/>
    <w:r>
      <w:tab/>
    </w:r>
    <w:r>
      <w:tab/>
    </w:r>
    <w:r>
      <w:rPr>
        <w:noProof/>
        <w:lang w:val="es-ES"/>
      </w:rPr>
      <w:drawing>
        <wp:inline distT="0" distB="0" distL="0" distR="0" wp14:anchorId="67237911" wp14:editId="56E87444">
          <wp:extent cx="1819275" cy="809625"/>
          <wp:effectExtent l="19050" t="0" r="9525" b="0"/>
          <wp:docPr id="2" name="Imagen 2" descr="Aresep-marca-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sep-marca-1-color-"/>
                  <pic:cNvPicPr>
                    <a:picLocks noChangeAspect="1" noChangeArrowheads="1"/>
                  </pic:cNvPicPr>
                </pic:nvPicPr>
                <pic:blipFill>
                  <a:blip r:embed="rId1"/>
                  <a:srcRect/>
                  <a:stretch>
                    <a:fillRect/>
                  </a:stretch>
                </pic:blipFill>
                <pic:spPr bwMode="auto">
                  <a:xfrm>
                    <a:off x="0" y="0"/>
                    <a:ext cx="1819275" cy="809625"/>
                  </a:xfrm>
                  <a:prstGeom prst="rect">
                    <a:avLst/>
                  </a:prstGeom>
                  <a:noFill/>
                  <a:ln w="9525">
                    <a:noFill/>
                    <a:miter lim="800000"/>
                    <a:headEnd/>
                    <a:tailEnd/>
                  </a:ln>
                </pic:spPr>
              </pic:pic>
            </a:graphicData>
          </a:graphic>
        </wp:inline>
      </w:drawing>
    </w:r>
    <w:bookmarkEnd w:id="1"/>
  </w:p>
  <w:p w:rsidR="00325A59" w:rsidRDefault="00325A59" w:rsidP="00590A2E">
    <w:pPr>
      <w:pStyle w:val="Encabezado"/>
    </w:pPr>
  </w:p>
  <w:p w:rsidR="00325A59" w:rsidRPr="00590A2E" w:rsidRDefault="00325A59" w:rsidP="00590A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376"/>
    <w:multiLevelType w:val="hybridMultilevel"/>
    <w:tmpl w:val="D5E8D216"/>
    <w:lvl w:ilvl="0" w:tplc="281AE772">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7866D6"/>
    <w:multiLevelType w:val="hybridMultilevel"/>
    <w:tmpl w:val="1DF0D5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1ED76CF"/>
    <w:multiLevelType w:val="hybridMultilevel"/>
    <w:tmpl w:val="5528775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6C96369"/>
    <w:multiLevelType w:val="hybridMultilevel"/>
    <w:tmpl w:val="1DF0D5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8871ABC"/>
    <w:multiLevelType w:val="hybridMultilevel"/>
    <w:tmpl w:val="99D4DF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597DBB"/>
    <w:multiLevelType w:val="hybridMultilevel"/>
    <w:tmpl w:val="D53E36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B49484D"/>
    <w:multiLevelType w:val="hybridMultilevel"/>
    <w:tmpl w:val="B5EE115E"/>
    <w:lvl w:ilvl="0" w:tplc="C97C1082">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9757209"/>
    <w:multiLevelType w:val="hybridMultilevel"/>
    <w:tmpl w:val="ACE8E07A"/>
    <w:lvl w:ilvl="0" w:tplc="649E76FE">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66225D"/>
    <w:multiLevelType w:val="hybridMultilevel"/>
    <w:tmpl w:val="2C565084"/>
    <w:lvl w:ilvl="0" w:tplc="286C16E2">
      <w:start w:val="1"/>
      <w:numFmt w:val="upp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9">
    <w:nsid w:val="54B56DB0"/>
    <w:multiLevelType w:val="hybridMultilevel"/>
    <w:tmpl w:val="7ABE43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56D610F7"/>
    <w:multiLevelType w:val="hybridMultilevel"/>
    <w:tmpl w:val="D5E8D216"/>
    <w:lvl w:ilvl="0" w:tplc="281AE772">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72D33FF"/>
    <w:multiLevelType w:val="hybridMultilevel"/>
    <w:tmpl w:val="D53E36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7474970"/>
    <w:multiLevelType w:val="hybridMultilevel"/>
    <w:tmpl w:val="8670DE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B987A58"/>
    <w:multiLevelType w:val="hybridMultilevel"/>
    <w:tmpl w:val="119C0ADA"/>
    <w:lvl w:ilvl="0" w:tplc="CF987546">
      <w:start w:val="1"/>
      <w:numFmt w:val="upperLetter"/>
      <w:lvlText w:val="%1."/>
      <w:lvlJc w:val="left"/>
      <w:pPr>
        <w:ind w:left="720" w:hanging="360"/>
      </w:pPr>
      <w:rPr>
        <w:rFonts w:ascii="Arial" w:hAnsi="Arial" w:cs="Arial"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D7B61FD"/>
    <w:multiLevelType w:val="hybridMultilevel"/>
    <w:tmpl w:val="88300A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CE5346E"/>
    <w:multiLevelType w:val="hybridMultilevel"/>
    <w:tmpl w:val="B9C8A686"/>
    <w:lvl w:ilvl="0" w:tplc="CF987546">
      <w:start w:val="1"/>
      <w:numFmt w:val="upperLetter"/>
      <w:lvlText w:val="%1."/>
      <w:lvlJc w:val="left"/>
      <w:pPr>
        <w:ind w:left="720" w:hanging="360"/>
      </w:pPr>
      <w:rPr>
        <w:rFonts w:ascii="Arial" w:hAnsi="Arial" w:cs="Arial"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3"/>
  </w:num>
  <w:num w:numId="5">
    <w:abstractNumId w:val="15"/>
  </w:num>
  <w:num w:numId="6">
    <w:abstractNumId w:val="4"/>
  </w:num>
  <w:num w:numId="7">
    <w:abstractNumId w:val="3"/>
  </w:num>
  <w:num w:numId="8">
    <w:abstractNumId w:val="1"/>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12"/>
  </w:num>
  <w:num w:numId="15">
    <w:abstractNumId w:val="1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A5"/>
    <w:rsid w:val="0000273A"/>
    <w:rsid w:val="00005BA6"/>
    <w:rsid w:val="00026678"/>
    <w:rsid w:val="000452F0"/>
    <w:rsid w:val="0005181A"/>
    <w:rsid w:val="00071BEF"/>
    <w:rsid w:val="000A0E94"/>
    <w:rsid w:val="001048FB"/>
    <w:rsid w:val="00123CB0"/>
    <w:rsid w:val="00125A15"/>
    <w:rsid w:val="00132090"/>
    <w:rsid w:val="00132A6E"/>
    <w:rsid w:val="0015237C"/>
    <w:rsid w:val="00157C50"/>
    <w:rsid w:val="001662DE"/>
    <w:rsid w:val="001900F0"/>
    <w:rsid w:val="00194ED2"/>
    <w:rsid w:val="001962B9"/>
    <w:rsid w:val="001B323E"/>
    <w:rsid w:val="001D08E3"/>
    <w:rsid w:val="001F0CA1"/>
    <w:rsid w:val="0022345A"/>
    <w:rsid w:val="002338F0"/>
    <w:rsid w:val="002365C4"/>
    <w:rsid w:val="0025601E"/>
    <w:rsid w:val="002721D0"/>
    <w:rsid w:val="00272FF5"/>
    <w:rsid w:val="002773B3"/>
    <w:rsid w:val="00293183"/>
    <w:rsid w:val="002948E1"/>
    <w:rsid w:val="002B3CF6"/>
    <w:rsid w:val="002C03E5"/>
    <w:rsid w:val="002D1917"/>
    <w:rsid w:val="002D3DA0"/>
    <w:rsid w:val="00310F0A"/>
    <w:rsid w:val="003166FF"/>
    <w:rsid w:val="00322005"/>
    <w:rsid w:val="00325A59"/>
    <w:rsid w:val="00342737"/>
    <w:rsid w:val="00353125"/>
    <w:rsid w:val="00374C63"/>
    <w:rsid w:val="00377685"/>
    <w:rsid w:val="00381753"/>
    <w:rsid w:val="003846D2"/>
    <w:rsid w:val="003A1374"/>
    <w:rsid w:val="003B76F9"/>
    <w:rsid w:val="003D3B61"/>
    <w:rsid w:val="003D5DE4"/>
    <w:rsid w:val="0042059B"/>
    <w:rsid w:val="004329A3"/>
    <w:rsid w:val="004560D8"/>
    <w:rsid w:val="0046709A"/>
    <w:rsid w:val="00490415"/>
    <w:rsid w:val="004A24BB"/>
    <w:rsid w:val="004A5C48"/>
    <w:rsid w:val="004C05D2"/>
    <w:rsid w:val="004C5090"/>
    <w:rsid w:val="004D27F3"/>
    <w:rsid w:val="004E494F"/>
    <w:rsid w:val="004E5DDB"/>
    <w:rsid w:val="004E7F5E"/>
    <w:rsid w:val="004F3517"/>
    <w:rsid w:val="00507791"/>
    <w:rsid w:val="0051189C"/>
    <w:rsid w:val="00517BB4"/>
    <w:rsid w:val="005244A6"/>
    <w:rsid w:val="005268BB"/>
    <w:rsid w:val="0054402D"/>
    <w:rsid w:val="00581D2A"/>
    <w:rsid w:val="00590A2E"/>
    <w:rsid w:val="005C6D27"/>
    <w:rsid w:val="005D59BB"/>
    <w:rsid w:val="00625EE3"/>
    <w:rsid w:val="0066758B"/>
    <w:rsid w:val="006D2785"/>
    <w:rsid w:val="006F309E"/>
    <w:rsid w:val="00711C3E"/>
    <w:rsid w:val="0073114C"/>
    <w:rsid w:val="00736E01"/>
    <w:rsid w:val="007558ED"/>
    <w:rsid w:val="00787B9F"/>
    <w:rsid w:val="00793E57"/>
    <w:rsid w:val="007A0639"/>
    <w:rsid w:val="007B13A4"/>
    <w:rsid w:val="007B44BD"/>
    <w:rsid w:val="008366F1"/>
    <w:rsid w:val="00845877"/>
    <w:rsid w:val="00852FAC"/>
    <w:rsid w:val="00854C3D"/>
    <w:rsid w:val="00862E54"/>
    <w:rsid w:val="008759F0"/>
    <w:rsid w:val="00881853"/>
    <w:rsid w:val="008830B1"/>
    <w:rsid w:val="00891109"/>
    <w:rsid w:val="008919A4"/>
    <w:rsid w:val="008A13C6"/>
    <w:rsid w:val="008B3DC1"/>
    <w:rsid w:val="008B5EB9"/>
    <w:rsid w:val="008C05FE"/>
    <w:rsid w:val="008D271F"/>
    <w:rsid w:val="00905BEB"/>
    <w:rsid w:val="0092213F"/>
    <w:rsid w:val="00937753"/>
    <w:rsid w:val="00953523"/>
    <w:rsid w:val="00964A80"/>
    <w:rsid w:val="00972822"/>
    <w:rsid w:val="009762D1"/>
    <w:rsid w:val="009771A5"/>
    <w:rsid w:val="00991769"/>
    <w:rsid w:val="009C151B"/>
    <w:rsid w:val="009C3145"/>
    <w:rsid w:val="009C6113"/>
    <w:rsid w:val="009E74EA"/>
    <w:rsid w:val="00A07FC5"/>
    <w:rsid w:val="00A10851"/>
    <w:rsid w:val="00A255E3"/>
    <w:rsid w:val="00A27A8E"/>
    <w:rsid w:val="00A47FD7"/>
    <w:rsid w:val="00A518AB"/>
    <w:rsid w:val="00A560D5"/>
    <w:rsid w:val="00A835C8"/>
    <w:rsid w:val="00AB2D0B"/>
    <w:rsid w:val="00AD3F0D"/>
    <w:rsid w:val="00B21FA4"/>
    <w:rsid w:val="00B30E48"/>
    <w:rsid w:val="00B36205"/>
    <w:rsid w:val="00B45C05"/>
    <w:rsid w:val="00B855A5"/>
    <w:rsid w:val="00BA2FBA"/>
    <w:rsid w:val="00BE0CA3"/>
    <w:rsid w:val="00BE4589"/>
    <w:rsid w:val="00BE4661"/>
    <w:rsid w:val="00C0189B"/>
    <w:rsid w:val="00C175E2"/>
    <w:rsid w:val="00C36100"/>
    <w:rsid w:val="00C54720"/>
    <w:rsid w:val="00C81A8B"/>
    <w:rsid w:val="00C869E5"/>
    <w:rsid w:val="00C96447"/>
    <w:rsid w:val="00CA0572"/>
    <w:rsid w:val="00CB25DD"/>
    <w:rsid w:val="00CE0B92"/>
    <w:rsid w:val="00CE4221"/>
    <w:rsid w:val="00CE5087"/>
    <w:rsid w:val="00CE5ED7"/>
    <w:rsid w:val="00CF6253"/>
    <w:rsid w:val="00D165A5"/>
    <w:rsid w:val="00D74344"/>
    <w:rsid w:val="00D86964"/>
    <w:rsid w:val="00D955A4"/>
    <w:rsid w:val="00DA5326"/>
    <w:rsid w:val="00DD23B6"/>
    <w:rsid w:val="00DD7C90"/>
    <w:rsid w:val="00DF34EF"/>
    <w:rsid w:val="00DF7376"/>
    <w:rsid w:val="00E01137"/>
    <w:rsid w:val="00E06610"/>
    <w:rsid w:val="00E10BAB"/>
    <w:rsid w:val="00E5164D"/>
    <w:rsid w:val="00E81A1C"/>
    <w:rsid w:val="00E94E34"/>
    <w:rsid w:val="00EB4BFB"/>
    <w:rsid w:val="00EC1BAF"/>
    <w:rsid w:val="00EC5E9C"/>
    <w:rsid w:val="00EC6EE1"/>
    <w:rsid w:val="00ED4044"/>
    <w:rsid w:val="00EE2067"/>
    <w:rsid w:val="00F01319"/>
    <w:rsid w:val="00F0447A"/>
    <w:rsid w:val="00F40E43"/>
    <w:rsid w:val="00F413FA"/>
    <w:rsid w:val="00F55600"/>
    <w:rsid w:val="00F572CA"/>
    <w:rsid w:val="00F66A8F"/>
    <w:rsid w:val="00FA1ADC"/>
    <w:rsid w:val="00FA2931"/>
    <w:rsid w:val="00FE23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A5"/>
    <w:pPr>
      <w:spacing w:after="0" w:line="240" w:lineRule="auto"/>
    </w:pPr>
    <w:rPr>
      <w:rFonts w:ascii="Bookman Old Style" w:eastAsia="SimSun" w:hAnsi="Bookman Old Style" w:cs="Bookman Old Style"/>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65A5"/>
    <w:pPr>
      <w:ind w:left="720"/>
      <w:contextualSpacing/>
    </w:pPr>
  </w:style>
  <w:style w:type="paragraph" w:styleId="Encabezado">
    <w:name w:val="header"/>
    <w:basedOn w:val="Normal"/>
    <w:link w:val="EncabezadoCar"/>
    <w:uiPriority w:val="99"/>
    <w:unhideWhenUsed/>
    <w:rsid w:val="00590A2E"/>
    <w:pPr>
      <w:tabs>
        <w:tab w:val="center" w:pos="4252"/>
        <w:tab w:val="right" w:pos="8504"/>
      </w:tabs>
    </w:pPr>
  </w:style>
  <w:style w:type="character" w:customStyle="1" w:styleId="EncabezadoCar">
    <w:name w:val="Encabezado Car"/>
    <w:basedOn w:val="Fuentedeprrafopredeter"/>
    <w:link w:val="Encabezado"/>
    <w:uiPriority w:val="99"/>
    <w:rsid w:val="00590A2E"/>
    <w:rPr>
      <w:rFonts w:ascii="Bookman Old Style" w:eastAsia="SimSun" w:hAnsi="Bookman Old Style" w:cs="Bookman Old Style"/>
      <w:sz w:val="24"/>
      <w:szCs w:val="24"/>
      <w:lang w:val="es-CR" w:eastAsia="es-ES"/>
    </w:rPr>
  </w:style>
  <w:style w:type="paragraph" w:styleId="Piedepgina">
    <w:name w:val="footer"/>
    <w:basedOn w:val="Normal"/>
    <w:link w:val="PiedepginaCar"/>
    <w:uiPriority w:val="99"/>
    <w:unhideWhenUsed/>
    <w:rsid w:val="00590A2E"/>
    <w:pPr>
      <w:tabs>
        <w:tab w:val="center" w:pos="4252"/>
        <w:tab w:val="right" w:pos="8504"/>
      </w:tabs>
    </w:pPr>
  </w:style>
  <w:style w:type="character" w:customStyle="1" w:styleId="PiedepginaCar">
    <w:name w:val="Pie de página Car"/>
    <w:basedOn w:val="Fuentedeprrafopredeter"/>
    <w:link w:val="Piedepgina"/>
    <w:uiPriority w:val="99"/>
    <w:rsid w:val="00590A2E"/>
    <w:rPr>
      <w:rFonts w:ascii="Bookman Old Style" w:eastAsia="SimSun" w:hAnsi="Bookman Old Style" w:cs="Bookman Old Style"/>
      <w:sz w:val="24"/>
      <w:szCs w:val="24"/>
      <w:lang w:val="es-CR" w:eastAsia="es-ES"/>
    </w:rPr>
  </w:style>
  <w:style w:type="paragraph" w:styleId="Textodeglobo">
    <w:name w:val="Balloon Text"/>
    <w:basedOn w:val="Normal"/>
    <w:link w:val="TextodegloboCar"/>
    <w:uiPriority w:val="99"/>
    <w:semiHidden/>
    <w:unhideWhenUsed/>
    <w:rsid w:val="00590A2E"/>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A2E"/>
    <w:rPr>
      <w:rFonts w:ascii="Tahoma" w:eastAsia="SimSun" w:hAnsi="Tahoma" w:cs="Tahoma"/>
      <w:sz w:val="16"/>
      <w:szCs w:val="16"/>
      <w:lang w:val="es-CR" w:eastAsia="es-ES"/>
    </w:rPr>
  </w:style>
  <w:style w:type="paragraph" w:styleId="Textoindependiente">
    <w:name w:val="Body Text"/>
    <w:basedOn w:val="Normal"/>
    <w:link w:val="TextoindependienteCar"/>
    <w:rsid w:val="00194ED2"/>
    <w:pPr>
      <w:widowControl w:val="0"/>
      <w:jc w:val="both"/>
    </w:pPr>
    <w:rPr>
      <w:rFonts w:ascii="Courier" w:eastAsia="Times New Roman" w:hAnsi="Courier" w:cs="Times New Roman"/>
      <w:snapToGrid w:val="0"/>
      <w:lang w:val="es-ES_tradnl"/>
    </w:rPr>
  </w:style>
  <w:style w:type="character" w:customStyle="1" w:styleId="TextoindependienteCar">
    <w:name w:val="Texto independiente Car"/>
    <w:basedOn w:val="Fuentedeprrafopredeter"/>
    <w:link w:val="Textoindependiente"/>
    <w:rsid w:val="00194ED2"/>
    <w:rPr>
      <w:rFonts w:ascii="Courier" w:eastAsia="Times New Roman" w:hAnsi="Courier" w:cs="Times New Roman"/>
      <w:snapToGrid w:val="0"/>
      <w:sz w:val="24"/>
      <w:szCs w:val="24"/>
      <w:lang w:val="es-ES_tradnl" w:eastAsia="es-ES"/>
    </w:rPr>
  </w:style>
  <w:style w:type="paragraph" w:styleId="NormalWeb">
    <w:name w:val="Normal (Web)"/>
    <w:basedOn w:val="Normal"/>
    <w:uiPriority w:val="99"/>
    <w:unhideWhenUsed/>
    <w:rsid w:val="00905BEB"/>
    <w:pPr>
      <w:spacing w:before="100" w:beforeAutospacing="1" w:after="100" w:afterAutospacing="1"/>
    </w:pPr>
    <w:rPr>
      <w:rFonts w:ascii="Times New Roman" w:eastAsia="Times New Roman" w:hAnsi="Times New Roman" w:cs="Times New Roman"/>
      <w:lang w:val="es-ES"/>
    </w:rPr>
  </w:style>
  <w:style w:type="paragraph" w:customStyle="1" w:styleId="noparagraphstyle">
    <w:name w:val="noparagraphstyle"/>
    <w:basedOn w:val="Normal"/>
    <w:link w:val="noparagraphstyleCar"/>
    <w:rsid w:val="00905BEB"/>
    <w:pPr>
      <w:spacing w:before="100" w:beforeAutospacing="1" w:after="100" w:afterAutospacing="1"/>
    </w:pPr>
    <w:rPr>
      <w:rFonts w:ascii="Times New Roman" w:eastAsia="Times New Roman" w:hAnsi="Times New Roman" w:cs="Times New Roman"/>
      <w:lang w:val="es-ES"/>
    </w:rPr>
  </w:style>
  <w:style w:type="character" w:customStyle="1" w:styleId="noparagraphstyleCar">
    <w:name w:val="noparagraphstyle Car"/>
    <w:link w:val="noparagraphstyle"/>
    <w:rsid w:val="00905BE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E5ED7"/>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5EE3"/>
    <w:pPr>
      <w:autoSpaceDE w:val="0"/>
      <w:autoSpaceDN w:val="0"/>
      <w:adjustRightInd w:val="0"/>
      <w:spacing w:after="0" w:line="240" w:lineRule="auto"/>
    </w:pPr>
    <w:rPr>
      <w:rFonts w:ascii="Arial" w:eastAsia="Times New Roman" w:hAnsi="Arial" w:cs="Arial"/>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A5"/>
    <w:pPr>
      <w:spacing w:after="0" w:line="240" w:lineRule="auto"/>
    </w:pPr>
    <w:rPr>
      <w:rFonts w:ascii="Bookman Old Style" w:eastAsia="SimSun" w:hAnsi="Bookman Old Style" w:cs="Bookman Old Style"/>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65A5"/>
    <w:pPr>
      <w:ind w:left="720"/>
      <w:contextualSpacing/>
    </w:pPr>
  </w:style>
  <w:style w:type="paragraph" w:styleId="Encabezado">
    <w:name w:val="header"/>
    <w:basedOn w:val="Normal"/>
    <w:link w:val="EncabezadoCar"/>
    <w:uiPriority w:val="99"/>
    <w:unhideWhenUsed/>
    <w:rsid w:val="00590A2E"/>
    <w:pPr>
      <w:tabs>
        <w:tab w:val="center" w:pos="4252"/>
        <w:tab w:val="right" w:pos="8504"/>
      </w:tabs>
    </w:pPr>
  </w:style>
  <w:style w:type="character" w:customStyle="1" w:styleId="EncabezadoCar">
    <w:name w:val="Encabezado Car"/>
    <w:basedOn w:val="Fuentedeprrafopredeter"/>
    <w:link w:val="Encabezado"/>
    <w:uiPriority w:val="99"/>
    <w:rsid w:val="00590A2E"/>
    <w:rPr>
      <w:rFonts w:ascii="Bookman Old Style" w:eastAsia="SimSun" w:hAnsi="Bookman Old Style" w:cs="Bookman Old Style"/>
      <w:sz w:val="24"/>
      <w:szCs w:val="24"/>
      <w:lang w:val="es-CR" w:eastAsia="es-ES"/>
    </w:rPr>
  </w:style>
  <w:style w:type="paragraph" w:styleId="Piedepgina">
    <w:name w:val="footer"/>
    <w:basedOn w:val="Normal"/>
    <w:link w:val="PiedepginaCar"/>
    <w:uiPriority w:val="99"/>
    <w:unhideWhenUsed/>
    <w:rsid w:val="00590A2E"/>
    <w:pPr>
      <w:tabs>
        <w:tab w:val="center" w:pos="4252"/>
        <w:tab w:val="right" w:pos="8504"/>
      </w:tabs>
    </w:pPr>
  </w:style>
  <w:style w:type="character" w:customStyle="1" w:styleId="PiedepginaCar">
    <w:name w:val="Pie de página Car"/>
    <w:basedOn w:val="Fuentedeprrafopredeter"/>
    <w:link w:val="Piedepgina"/>
    <w:uiPriority w:val="99"/>
    <w:rsid w:val="00590A2E"/>
    <w:rPr>
      <w:rFonts w:ascii="Bookman Old Style" w:eastAsia="SimSun" w:hAnsi="Bookman Old Style" w:cs="Bookman Old Style"/>
      <w:sz w:val="24"/>
      <w:szCs w:val="24"/>
      <w:lang w:val="es-CR" w:eastAsia="es-ES"/>
    </w:rPr>
  </w:style>
  <w:style w:type="paragraph" w:styleId="Textodeglobo">
    <w:name w:val="Balloon Text"/>
    <w:basedOn w:val="Normal"/>
    <w:link w:val="TextodegloboCar"/>
    <w:uiPriority w:val="99"/>
    <w:semiHidden/>
    <w:unhideWhenUsed/>
    <w:rsid w:val="00590A2E"/>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A2E"/>
    <w:rPr>
      <w:rFonts w:ascii="Tahoma" w:eastAsia="SimSun" w:hAnsi="Tahoma" w:cs="Tahoma"/>
      <w:sz w:val="16"/>
      <w:szCs w:val="16"/>
      <w:lang w:val="es-CR" w:eastAsia="es-ES"/>
    </w:rPr>
  </w:style>
  <w:style w:type="paragraph" w:styleId="Textoindependiente">
    <w:name w:val="Body Text"/>
    <w:basedOn w:val="Normal"/>
    <w:link w:val="TextoindependienteCar"/>
    <w:rsid w:val="00194ED2"/>
    <w:pPr>
      <w:widowControl w:val="0"/>
      <w:jc w:val="both"/>
    </w:pPr>
    <w:rPr>
      <w:rFonts w:ascii="Courier" w:eastAsia="Times New Roman" w:hAnsi="Courier" w:cs="Times New Roman"/>
      <w:snapToGrid w:val="0"/>
      <w:lang w:val="es-ES_tradnl"/>
    </w:rPr>
  </w:style>
  <w:style w:type="character" w:customStyle="1" w:styleId="TextoindependienteCar">
    <w:name w:val="Texto independiente Car"/>
    <w:basedOn w:val="Fuentedeprrafopredeter"/>
    <w:link w:val="Textoindependiente"/>
    <w:rsid w:val="00194ED2"/>
    <w:rPr>
      <w:rFonts w:ascii="Courier" w:eastAsia="Times New Roman" w:hAnsi="Courier" w:cs="Times New Roman"/>
      <w:snapToGrid w:val="0"/>
      <w:sz w:val="24"/>
      <w:szCs w:val="24"/>
      <w:lang w:val="es-ES_tradnl" w:eastAsia="es-ES"/>
    </w:rPr>
  </w:style>
  <w:style w:type="paragraph" w:styleId="NormalWeb">
    <w:name w:val="Normal (Web)"/>
    <w:basedOn w:val="Normal"/>
    <w:uiPriority w:val="99"/>
    <w:unhideWhenUsed/>
    <w:rsid w:val="00905BEB"/>
    <w:pPr>
      <w:spacing w:before="100" w:beforeAutospacing="1" w:after="100" w:afterAutospacing="1"/>
    </w:pPr>
    <w:rPr>
      <w:rFonts w:ascii="Times New Roman" w:eastAsia="Times New Roman" w:hAnsi="Times New Roman" w:cs="Times New Roman"/>
      <w:lang w:val="es-ES"/>
    </w:rPr>
  </w:style>
  <w:style w:type="paragraph" w:customStyle="1" w:styleId="noparagraphstyle">
    <w:name w:val="noparagraphstyle"/>
    <w:basedOn w:val="Normal"/>
    <w:link w:val="noparagraphstyleCar"/>
    <w:rsid w:val="00905BEB"/>
    <w:pPr>
      <w:spacing w:before="100" w:beforeAutospacing="1" w:after="100" w:afterAutospacing="1"/>
    </w:pPr>
    <w:rPr>
      <w:rFonts w:ascii="Times New Roman" w:eastAsia="Times New Roman" w:hAnsi="Times New Roman" w:cs="Times New Roman"/>
      <w:lang w:val="es-ES"/>
    </w:rPr>
  </w:style>
  <w:style w:type="character" w:customStyle="1" w:styleId="noparagraphstyleCar">
    <w:name w:val="noparagraphstyle Car"/>
    <w:link w:val="noparagraphstyle"/>
    <w:rsid w:val="00905BE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E5ED7"/>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5EE3"/>
    <w:pPr>
      <w:autoSpaceDE w:val="0"/>
      <w:autoSpaceDN w:val="0"/>
      <w:adjustRightInd w:val="0"/>
      <w:spacing w:after="0" w:line="240" w:lineRule="auto"/>
    </w:pPr>
    <w:rPr>
      <w:rFonts w:ascii="Arial" w:eastAsia="Times New Roman" w:hAnsi="Arial" w:cs="Arial"/>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Godínez Lobo</dc:creator>
  <cp:lastModifiedBy>Floribeth Hernández Porras</cp:lastModifiedBy>
  <cp:revision>2</cp:revision>
  <cp:lastPrinted>2012-11-14T19:15:00Z</cp:lastPrinted>
  <dcterms:created xsi:type="dcterms:W3CDTF">2013-08-06T20:27:00Z</dcterms:created>
  <dcterms:modified xsi:type="dcterms:W3CDTF">2013-08-06T20:27:00Z</dcterms:modified>
</cp:coreProperties>
</file>