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13" w:rsidRDefault="00530013" w:rsidP="00530013">
      <w:pPr>
        <w:jc w:val="right"/>
        <w:rPr>
          <w:rFonts w:ascii="Helvetica" w:hAnsi="Helvetica"/>
          <w:b/>
          <w:color w:val="0084C0"/>
          <w:sz w:val="40"/>
          <w:szCs w:val="40"/>
        </w:rPr>
      </w:pPr>
      <w:r>
        <w:rPr>
          <w:noProof/>
          <w:lang w:val="es-CR" w:eastAsia="es-CR"/>
        </w:rPr>
        <w:drawing>
          <wp:inline distT="0" distB="0" distL="0" distR="0">
            <wp:extent cx="1552575" cy="676275"/>
            <wp:effectExtent l="19050" t="0" r="9525" b="0"/>
            <wp:docPr id="3" name="Imagen 1" descr="Aresep-marca-H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sep-marca-H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color w:val="0084C0"/>
          <w:sz w:val="40"/>
          <w:szCs w:val="40"/>
        </w:rPr>
        <w:tab/>
      </w:r>
    </w:p>
    <w:p w:rsidR="00530013" w:rsidRDefault="00530013" w:rsidP="00530013">
      <w:pPr>
        <w:jc w:val="right"/>
        <w:rPr>
          <w:rFonts w:ascii="Helvetica" w:hAnsi="Helvetica"/>
          <w:b/>
          <w:color w:val="0084C0"/>
          <w:sz w:val="40"/>
          <w:szCs w:val="40"/>
        </w:rPr>
      </w:pPr>
    </w:p>
    <w:p w:rsidR="00A660A3" w:rsidRDefault="00530013" w:rsidP="00530013">
      <w:pPr>
        <w:jc w:val="right"/>
        <w:rPr>
          <w:rFonts w:ascii="Helvetica" w:hAnsi="Helvetica"/>
          <w:b/>
          <w:color w:val="0084C0"/>
          <w:sz w:val="40"/>
          <w:szCs w:val="40"/>
        </w:rPr>
      </w:pPr>
      <w:r>
        <w:rPr>
          <w:rFonts w:ascii="Helvetica" w:hAnsi="Helvetica"/>
          <w:b/>
          <w:color w:val="0084C0"/>
          <w:sz w:val="40"/>
          <w:szCs w:val="40"/>
        </w:rPr>
        <w:tab/>
      </w:r>
    </w:p>
    <w:p w:rsidR="00A660A3" w:rsidRDefault="00A660A3" w:rsidP="00530013">
      <w:pPr>
        <w:jc w:val="right"/>
        <w:rPr>
          <w:rFonts w:ascii="Helvetica" w:hAnsi="Helvetica"/>
          <w:b/>
          <w:color w:val="0084C0"/>
          <w:sz w:val="40"/>
          <w:szCs w:val="40"/>
        </w:rPr>
      </w:pPr>
    </w:p>
    <w:p w:rsidR="00A660A3" w:rsidRDefault="00A660A3" w:rsidP="00530013">
      <w:pPr>
        <w:jc w:val="right"/>
        <w:rPr>
          <w:rFonts w:ascii="Helvetica" w:hAnsi="Helvetica"/>
          <w:b/>
          <w:color w:val="0084C0"/>
          <w:sz w:val="40"/>
          <w:szCs w:val="40"/>
        </w:rPr>
      </w:pPr>
    </w:p>
    <w:p w:rsidR="00530013" w:rsidRPr="000A4D40" w:rsidRDefault="00530013" w:rsidP="00530013">
      <w:pPr>
        <w:jc w:val="right"/>
        <w:rPr>
          <w:rFonts w:ascii="Helvetica" w:hAnsi="Helvetica"/>
          <w:b/>
          <w:color w:val="0084C0"/>
          <w:sz w:val="40"/>
          <w:szCs w:val="40"/>
        </w:rPr>
      </w:pPr>
      <w:r>
        <w:rPr>
          <w:rFonts w:ascii="Helvetica" w:hAnsi="Helvetica"/>
          <w:b/>
          <w:color w:val="0084C0"/>
          <w:sz w:val="40"/>
          <w:szCs w:val="40"/>
        </w:rPr>
        <w:tab/>
      </w:r>
      <w:r>
        <w:rPr>
          <w:rFonts w:ascii="Helvetica" w:hAnsi="Helvetica"/>
          <w:b/>
          <w:color w:val="0084C0"/>
          <w:sz w:val="40"/>
          <w:szCs w:val="40"/>
        </w:rPr>
        <w:tab/>
      </w:r>
      <w:r>
        <w:rPr>
          <w:rFonts w:ascii="Helvetica" w:hAnsi="Helvetica"/>
          <w:b/>
          <w:color w:val="0084C0"/>
          <w:sz w:val="40"/>
          <w:szCs w:val="40"/>
        </w:rPr>
        <w:tab/>
      </w:r>
      <w:r>
        <w:rPr>
          <w:rFonts w:ascii="Helvetica" w:hAnsi="Helvetica"/>
          <w:b/>
          <w:color w:val="0084C0"/>
          <w:sz w:val="40"/>
          <w:szCs w:val="40"/>
        </w:rPr>
        <w:tab/>
      </w:r>
      <w:r w:rsidRPr="000A4D40">
        <w:rPr>
          <w:rFonts w:ascii="Helvetica" w:hAnsi="Helvetica"/>
          <w:b/>
          <w:color w:val="0084C0"/>
          <w:sz w:val="40"/>
          <w:szCs w:val="40"/>
        </w:rPr>
        <w:t xml:space="preserve"> </w:t>
      </w:r>
    </w:p>
    <w:p w:rsidR="00530013" w:rsidRDefault="00530013" w:rsidP="00530013">
      <w:pPr>
        <w:spacing w:line="240" w:lineRule="auto"/>
        <w:jc w:val="center"/>
        <w:rPr>
          <w:rFonts w:ascii="Helvetica" w:hAnsi="Helvetica"/>
          <w:b/>
          <w:color w:val="0084C0"/>
          <w:sz w:val="40"/>
          <w:szCs w:val="40"/>
        </w:rPr>
      </w:pPr>
      <w:r>
        <w:rPr>
          <w:rFonts w:ascii="Helvetica" w:hAnsi="Helvetica"/>
          <w:b/>
          <w:color w:val="0084C0"/>
          <w:sz w:val="40"/>
          <w:szCs w:val="40"/>
        </w:rPr>
        <w:t>Plan de Trabajo</w:t>
      </w:r>
      <w:r w:rsidRPr="000A4D40">
        <w:rPr>
          <w:rFonts w:ascii="Helvetica" w:hAnsi="Helvetica"/>
          <w:b/>
          <w:color w:val="0084C0"/>
          <w:sz w:val="40"/>
          <w:szCs w:val="40"/>
        </w:rPr>
        <w:t xml:space="preserve"> </w:t>
      </w:r>
    </w:p>
    <w:p w:rsidR="00530013" w:rsidRPr="00071947" w:rsidRDefault="00530013" w:rsidP="00530013">
      <w:pPr>
        <w:spacing w:line="240" w:lineRule="auto"/>
        <w:jc w:val="center"/>
        <w:rPr>
          <w:rFonts w:ascii="Helvetica" w:hAnsi="Helvetica"/>
          <w:b/>
          <w:color w:val="0084C0"/>
          <w:sz w:val="44"/>
        </w:rPr>
      </w:pPr>
      <w:r w:rsidRPr="000A4D40">
        <w:rPr>
          <w:rFonts w:ascii="Helvetica" w:hAnsi="Helvetica"/>
          <w:b/>
          <w:color w:val="0084C0"/>
          <w:sz w:val="40"/>
          <w:szCs w:val="40"/>
        </w:rPr>
        <w:t>Contraloría Servicios</w:t>
      </w:r>
      <w:r>
        <w:rPr>
          <w:rFonts w:ascii="Helvetica" w:hAnsi="Helvetica"/>
          <w:b/>
          <w:color w:val="0084C0"/>
          <w:sz w:val="44"/>
        </w:rPr>
        <w:t xml:space="preserve"> 201</w:t>
      </w:r>
      <w:r w:rsidR="00156C52">
        <w:rPr>
          <w:rFonts w:ascii="Helvetica" w:hAnsi="Helvetica"/>
          <w:b/>
          <w:color w:val="0084C0"/>
          <w:sz w:val="44"/>
        </w:rPr>
        <w:t>5</w:t>
      </w:r>
    </w:p>
    <w:p w:rsidR="00530013" w:rsidRPr="00312ED5" w:rsidRDefault="00530013" w:rsidP="00530013">
      <w:pPr>
        <w:spacing w:before="100" w:beforeAutospacing="1" w:after="100" w:afterAutospacing="1"/>
        <w:ind w:left="3" w:right="2"/>
        <w:jc w:val="center"/>
        <w:rPr>
          <w:rFonts w:ascii="Arial" w:hAnsi="Arial" w:cs="Arial"/>
          <w:b/>
          <w:sz w:val="20"/>
        </w:rPr>
      </w:pPr>
      <w:r w:rsidRPr="00312ED5">
        <w:rPr>
          <w:rFonts w:ascii="Arial" w:hAnsi="Arial" w:cs="Arial"/>
          <w:b/>
          <w:sz w:val="20"/>
        </w:rPr>
        <w:t>Autoridad Reguladora de los Servicios Públicos</w:t>
      </w:r>
    </w:p>
    <w:p w:rsidR="00530013" w:rsidRPr="00312ED5" w:rsidRDefault="00530013" w:rsidP="00530013">
      <w:pPr>
        <w:spacing w:before="100" w:beforeAutospacing="1" w:after="100" w:afterAutospacing="1"/>
        <w:ind w:left="3" w:right="2"/>
        <w:jc w:val="center"/>
        <w:rPr>
          <w:rFonts w:ascii="Arial" w:hAnsi="Arial" w:cs="Arial"/>
          <w:b/>
          <w:sz w:val="20"/>
        </w:rPr>
      </w:pPr>
      <w:r w:rsidRPr="00312ED5">
        <w:rPr>
          <w:rFonts w:ascii="Arial" w:hAnsi="Arial" w:cs="Arial"/>
          <w:b/>
          <w:sz w:val="20"/>
        </w:rPr>
        <w:t>(ARESEP)</w:t>
      </w:r>
    </w:p>
    <w:p w:rsidR="00530013" w:rsidRDefault="00530013" w:rsidP="00530013">
      <w:pPr>
        <w:spacing w:before="100" w:beforeAutospacing="1" w:after="100" w:afterAutospacing="1"/>
        <w:ind w:left="3" w:right="2"/>
        <w:jc w:val="center"/>
        <w:rPr>
          <w:rFonts w:ascii="Arial" w:hAnsi="Arial" w:cs="Arial"/>
          <w:b/>
          <w:sz w:val="20"/>
        </w:rPr>
      </w:pPr>
    </w:p>
    <w:p w:rsidR="00530013" w:rsidRDefault="00530013" w:rsidP="00530013">
      <w:pPr>
        <w:spacing w:before="100" w:beforeAutospacing="1" w:after="100" w:afterAutospacing="1" w:line="360" w:lineRule="auto"/>
        <w:ind w:left="3" w:right="2"/>
        <w:jc w:val="center"/>
        <w:rPr>
          <w:rFonts w:ascii="Arial" w:hAnsi="Arial" w:cs="Arial"/>
          <w:b/>
          <w:sz w:val="20"/>
        </w:rPr>
      </w:pPr>
    </w:p>
    <w:p w:rsidR="00530013" w:rsidRDefault="00530013" w:rsidP="00530013">
      <w:pPr>
        <w:spacing w:before="100" w:beforeAutospacing="1" w:after="100" w:afterAutospacing="1" w:line="360" w:lineRule="auto"/>
        <w:ind w:left="3" w:right="2"/>
        <w:jc w:val="center"/>
        <w:rPr>
          <w:rFonts w:ascii="Arial" w:hAnsi="Arial" w:cs="Arial"/>
          <w:b/>
          <w:sz w:val="20"/>
        </w:rPr>
      </w:pPr>
    </w:p>
    <w:p w:rsidR="00530013" w:rsidRDefault="00530013" w:rsidP="00530013">
      <w:pPr>
        <w:spacing w:before="100" w:beforeAutospacing="1" w:after="100" w:afterAutospacing="1" w:line="360" w:lineRule="auto"/>
        <w:ind w:left="3" w:right="2"/>
        <w:jc w:val="center"/>
        <w:rPr>
          <w:rFonts w:ascii="Arial" w:hAnsi="Arial" w:cs="Arial"/>
          <w:b/>
          <w:sz w:val="20"/>
        </w:rPr>
      </w:pPr>
    </w:p>
    <w:p w:rsidR="00530013" w:rsidRDefault="00530013" w:rsidP="00530013">
      <w:pPr>
        <w:spacing w:before="100" w:beforeAutospacing="1" w:after="100" w:afterAutospacing="1" w:line="360" w:lineRule="auto"/>
        <w:ind w:left="3" w:right="2"/>
        <w:jc w:val="center"/>
        <w:rPr>
          <w:rFonts w:ascii="Arial" w:hAnsi="Arial" w:cs="Arial"/>
          <w:b/>
          <w:sz w:val="20"/>
        </w:rPr>
      </w:pPr>
    </w:p>
    <w:p w:rsidR="00530013" w:rsidRDefault="00530013" w:rsidP="00530013">
      <w:pPr>
        <w:spacing w:before="100" w:beforeAutospacing="1" w:after="100" w:afterAutospacing="1" w:line="360" w:lineRule="auto"/>
        <w:ind w:left="3" w:right="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Contralora de Servicios: Ana Carolina Mora R.</w:t>
      </w:r>
    </w:p>
    <w:p w:rsidR="00530013" w:rsidRDefault="00530013" w:rsidP="00530013">
      <w:pPr>
        <w:spacing w:before="100" w:beforeAutospacing="1" w:after="100" w:afterAutospacing="1" w:line="360" w:lineRule="auto"/>
        <w:ind w:left="3" w:right="2"/>
        <w:jc w:val="center"/>
        <w:rPr>
          <w:rFonts w:ascii="Arial" w:hAnsi="Arial" w:cs="Arial"/>
          <w:b/>
          <w:sz w:val="20"/>
        </w:rPr>
      </w:pPr>
    </w:p>
    <w:p w:rsidR="00530013" w:rsidRDefault="00530013" w:rsidP="00530013">
      <w:pPr>
        <w:spacing w:before="100" w:beforeAutospacing="1" w:after="100" w:afterAutospacing="1" w:line="360" w:lineRule="auto"/>
        <w:ind w:left="3" w:right="2"/>
        <w:jc w:val="center"/>
        <w:rPr>
          <w:rFonts w:ascii="Arial" w:hAnsi="Arial" w:cs="Arial"/>
          <w:b/>
          <w:sz w:val="20"/>
        </w:rPr>
      </w:pPr>
    </w:p>
    <w:p w:rsidR="00530013" w:rsidRDefault="00530013" w:rsidP="00530013">
      <w:pPr>
        <w:spacing w:before="100" w:beforeAutospacing="1" w:after="100" w:afterAutospacing="1" w:line="360" w:lineRule="auto"/>
        <w:ind w:left="3" w:right="2"/>
        <w:jc w:val="center"/>
        <w:rPr>
          <w:rFonts w:ascii="Arial" w:hAnsi="Arial" w:cs="Arial"/>
          <w:b/>
          <w:sz w:val="20"/>
        </w:rPr>
      </w:pPr>
    </w:p>
    <w:p w:rsidR="00530013" w:rsidRDefault="00156C52" w:rsidP="00530013">
      <w:pPr>
        <w:spacing w:before="100" w:beforeAutospacing="1" w:after="100" w:afterAutospacing="1" w:line="360" w:lineRule="auto"/>
        <w:ind w:left="3" w:right="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Febrero </w:t>
      </w:r>
      <w:r w:rsidR="00530013">
        <w:rPr>
          <w:rFonts w:ascii="Arial" w:hAnsi="Arial" w:cs="Arial"/>
          <w:b/>
          <w:sz w:val="20"/>
        </w:rPr>
        <w:t>201</w:t>
      </w:r>
      <w:r>
        <w:rPr>
          <w:rFonts w:ascii="Arial" w:hAnsi="Arial" w:cs="Arial"/>
          <w:b/>
          <w:sz w:val="20"/>
        </w:rPr>
        <w:t>5</w:t>
      </w:r>
    </w:p>
    <w:p w:rsidR="00A660A3" w:rsidRDefault="00A660A3" w:rsidP="00005A06">
      <w:pPr>
        <w:tabs>
          <w:tab w:val="left" w:pos="7740"/>
        </w:tabs>
        <w:spacing w:before="100" w:beforeAutospacing="1" w:after="100" w:afterAutospacing="1" w:line="360" w:lineRule="auto"/>
        <w:ind w:left="3"/>
        <w:jc w:val="both"/>
        <w:rPr>
          <w:rFonts w:ascii="Arial" w:hAnsi="Arial" w:cs="Arial"/>
          <w:b/>
        </w:rPr>
      </w:pPr>
    </w:p>
    <w:p w:rsidR="00530013" w:rsidRPr="001C0B87" w:rsidRDefault="00530013" w:rsidP="00005A06">
      <w:pPr>
        <w:tabs>
          <w:tab w:val="left" w:pos="7740"/>
        </w:tabs>
        <w:spacing w:before="100" w:beforeAutospacing="1" w:after="100" w:afterAutospacing="1" w:line="360" w:lineRule="auto"/>
        <w:ind w:left="3"/>
        <w:jc w:val="both"/>
        <w:rPr>
          <w:rFonts w:ascii="Arial" w:hAnsi="Arial" w:cs="Arial"/>
          <w:b/>
        </w:rPr>
      </w:pPr>
      <w:r w:rsidRPr="001C0B87">
        <w:rPr>
          <w:rFonts w:ascii="Arial" w:hAnsi="Arial" w:cs="Arial"/>
          <w:b/>
        </w:rPr>
        <w:lastRenderedPageBreak/>
        <w:t xml:space="preserve">Introducción </w:t>
      </w:r>
    </w:p>
    <w:p w:rsidR="00530013" w:rsidRDefault="00CA1709" w:rsidP="00817ADC">
      <w:pPr>
        <w:pStyle w:val="Ttulo1"/>
        <w:tabs>
          <w:tab w:val="left" w:pos="7740"/>
        </w:tabs>
        <w:spacing w:before="0" w:after="0"/>
        <w:jc w:val="both"/>
        <w:rPr>
          <w:b w:val="0"/>
          <w:sz w:val="20"/>
          <w:szCs w:val="20"/>
        </w:rPr>
      </w:pPr>
      <w:bookmarkStart w:id="0" w:name="_Toc153341155"/>
      <w:r>
        <w:rPr>
          <w:b w:val="0"/>
          <w:sz w:val="20"/>
          <w:szCs w:val="20"/>
        </w:rPr>
        <w:t>L</w:t>
      </w:r>
      <w:r w:rsidR="00530013" w:rsidRPr="00AB3167">
        <w:rPr>
          <w:b w:val="0"/>
          <w:sz w:val="20"/>
          <w:szCs w:val="20"/>
        </w:rPr>
        <w:t>a Autoridad Reguladora de los Servicios Públicos (ARESEP) es una institución pública,</w:t>
      </w:r>
      <w:r w:rsidR="00530013">
        <w:rPr>
          <w:b w:val="0"/>
          <w:sz w:val="20"/>
          <w:szCs w:val="20"/>
        </w:rPr>
        <w:t xml:space="preserve"> creada mediante la ley 7593 de</w:t>
      </w:r>
      <w:r w:rsidR="00530013" w:rsidRPr="00AB3167">
        <w:rPr>
          <w:b w:val="0"/>
          <w:sz w:val="20"/>
          <w:szCs w:val="20"/>
        </w:rPr>
        <w:t xml:space="preserve"> 1996</w:t>
      </w:r>
      <w:r w:rsidR="00817ADC">
        <w:rPr>
          <w:b w:val="0"/>
          <w:sz w:val="20"/>
          <w:szCs w:val="20"/>
        </w:rPr>
        <w:t xml:space="preserve"> y modificada en el 2008</w:t>
      </w:r>
      <w:r w:rsidR="00530013" w:rsidRPr="00AB3167">
        <w:rPr>
          <w:b w:val="0"/>
          <w:sz w:val="20"/>
          <w:szCs w:val="20"/>
        </w:rPr>
        <w:t>, con el propósito de armonizar los intereses entre usuarios y operadores de servicios públicos, así como asegurar que los servicios se brinden de forma óptima, cumpliendo con las condiciones de calidad, cantidad, oportunidad, continuidad y confiabilidad.</w:t>
      </w:r>
    </w:p>
    <w:p w:rsidR="00817ADC" w:rsidRDefault="00817ADC" w:rsidP="00817ADC">
      <w:pPr>
        <w:spacing w:after="0" w:line="240" w:lineRule="auto"/>
        <w:rPr>
          <w:rFonts w:ascii="Arial" w:eastAsia="Times New Roman" w:hAnsi="Arial" w:cs="Arial"/>
          <w:bCs/>
          <w:kern w:val="32"/>
          <w:sz w:val="20"/>
          <w:szCs w:val="20"/>
          <w:lang w:eastAsia="es-ES"/>
        </w:rPr>
      </w:pPr>
    </w:p>
    <w:p w:rsidR="00817ADC" w:rsidRDefault="00817ADC" w:rsidP="00817ADC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0"/>
          <w:szCs w:val="20"/>
          <w:lang w:eastAsia="es-ES"/>
        </w:rPr>
      </w:pPr>
      <w:r w:rsidRPr="00817ADC">
        <w:rPr>
          <w:rFonts w:ascii="Arial" w:eastAsia="Times New Roman" w:hAnsi="Arial" w:cs="Arial"/>
          <w:bCs/>
          <w:kern w:val="32"/>
          <w:sz w:val="20"/>
          <w:szCs w:val="20"/>
          <w:lang w:eastAsia="es-ES"/>
        </w:rPr>
        <w:t xml:space="preserve">En la ARESEP existe una Dirección encargada de atender, tramitar y resolver lo que corresponda </w:t>
      </w:r>
      <w:r w:rsidR="00156C52">
        <w:rPr>
          <w:rFonts w:ascii="Arial" w:eastAsia="Times New Roman" w:hAnsi="Arial" w:cs="Arial"/>
          <w:bCs/>
          <w:kern w:val="32"/>
          <w:sz w:val="20"/>
          <w:szCs w:val="20"/>
          <w:lang w:eastAsia="es-ES"/>
        </w:rPr>
        <w:t>a</w:t>
      </w:r>
      <w:r w:rsidRPr="00817ADC">
        <w:rPr>
          <w:rFonts w:ascii="Arial" w:eastAsia="Times New Roman" w:hAnsi="Arial" w:cs="Arial"/>
          <w:bCs/>
          <w:kern w:val="32"/>
          <w:sz w:val="20"/>
          <w:szCs w:val="20"/>
          <w:lang w:eastAsia="es-ES"/>
        </w:rPr>
        <w:t xml:space="preserve"> quejas recibidas en las instituciones reguladas, por lo que se reciben unas 1500 solicitudes mensuales.</w:t>
      </w:r>
    </w:p>
    <w:p w:rsidR="00817ADC" w:rsidRPr="00817ADC" w:rsidRDefault="00817ADC" w:rsidP="00817ADC">
      <w:pPr>
        <w:spacing w:after="0" w:line="240" w:lineRule="auto"/>
        <w:rPr>
          <w:rFonts w:ascii="Arial" w:eastAsia="Times New Roman" w:hAnsi="Arial" w:cs="Arial"/>
          <w:bCs/>
          <w:kern w:val="32"/>
          <w:sz w:val="20"/>
          <w:szCs w:val="20"/>
          <w:lang w:eastAsia="es-ES"/>
        </w:rPr>
      </w:pPr>
    </w:p>
    <w:p w:rsidR="00CA1709" w:rsidRDefault="00CA1709" w:rsidP="00817ADC">
      <w:pPr>
        <w:pStyle w:val="Ttulo1"/>
        <w:tabs>
          <w:tab w:val="left" w:pos="7740"/>
        </w:tabs>
        <w:spacing w:before="0" w:after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La Contraloría de Servicios es una instancia encargada de recibir, tramitar y resolver quejas</w:t>
      </w:r>
      <w:r w:rsidR="00AA39DE">
        <w:rPr>
          <w:b w:val="0"/>
          <w:sz w:val="20"/>
          <w:szCs w:val="20"/>
        </w:rPr>
        <w:t xml:space="preserve"> contra los funcionarios o procesos que desarrolle internamente, es decir, si hay una prestación indebida en el servicio que dan los funcionarios de ARESEP</w:t>
      </w:r>
      <w:r w:rsidR="00156C52">
        <w:rPr>
          <w:b w:val="0"/>
          <w:sz w:val="20"/>
          <w:szCs w:val="20"/>
        </w:rPr>
        <w:t xml:space="preserve"> o en los procesos que se requieran mejorar para dar una atención más eficiente a los usuarios</w:t>
      </w:r>
      <w:r w:rsidR="00AA39DE">
        <w:rPr>
          <w:b w:val="0"/>
          <w:sz w:val="20"/>
          <w:szCs w:val="20"/>
        </w:rPr>
        <w:t xml:space="preserve">. </w:t>
      </w:r>
    </w:p>
    <w:p w:rsidR="00AA39DE" w:rsidRPr="00AA39DE" w:rsidRDefault="00AA39DE" w:rsidP="00AA39DE">
      <w:pPr>
        <w:rPr>
          <w:lang w:eastAsia="es-ES"/>
        </w:rPr>
      </w:pPr>
    </w:p>
    <w:p w:rsidR="00530013" w:rsidRPr="001C0B87" w:rsidRDefault="00D42BD1" w:rsidP="00005A06">
      <w:pPr>
        <w:pStyle w:val="Ttulo1"/>
        <w:tabs>
          <w:tab w:val="left" w:pos="7740"/>
        </w:tabs>
        <w:ind w:left="3"/>
        <w:jc w:val="both"/>
        <w:rPr>
          <w:rFonts w:eastAsia="HG Mincho Light J"/>
          <w:bCs w:val="0"/>
          <w:color w:val="000000"/>
          <w:kern w:val="0"/>
          <w:sz w:val="22"/>
          <w:szCs w:val="22"/>
          <w:lang w:val="es-ES_tradnl"/>
        </w:rPr>
      </w:pPr>
      <w:r w:rsidRPr="001C0B87">
        <w:rPr>
          <w:rFonts w:eastAsia="HG Mincho Light J"/>
          <w:bCs w:val="0"/>
          <w:color w:val="000000"/>
          <w:kern w:val="0"/>
          <w:sz w:val="22"/>
          <w:szCs w:val="22"/>
          <w:lang w:val="es-ES_tradnl"/>
        </w:rPr>
        <w:t xml:space="preserve">Reseña </w:t>
      </w:r>
      <w:r w:rsidR="001C0B87" w:rsidRPr="001C0B87">
        <w:rPr>
          <w:rFonts w:eastAsia="HG Mincho Light J"/>
          <w:bCs w:val="0"/>
          <w:color w:val="000000"/>
          <w:kern w:val="0"/>
          <w:sz w:val="22"/>
          <w:szCs w:val="22"/>
          <w:lang w:val="es-ES_tradnl"/>
        </w:rPr>
        <w:t>histórica</w:t>
      </w:r>
    </w:p>
    <w:p w:rsidR="006B6D15" w:rsidRDefault="001C0B87" w:rsidP="00005A06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La regulación de los servicios públicos en Costa Rica se remonta a 1928, cuando se creó el Servicio Nacional de Electricidad (SNE). </w:t>
      </w:r>
      <w:r w:rsidR="006B6D15">
        <w:rPr>
          <w:rFonts w:ascii="Arial" w:hAnsi="Arial" w:cs="Arial"/>
          <w:sz w:val="20"/>
          <w:szCs w:val="20"/>
          <w:lang w:val="es-ES_tradnl"/>
        </w:rPr>
        <w:t>La</w:t>
      </w:r>
      <w:r w:rsidR="00D21A0E">
        <w:rPr>
          <w:rFonts w:ascii="Arial" w:hAnsi="Arial" w:cs="Arial"/>
          <w:sz w:val="20"/>
          <w:szCs w:val="20"/>
          <w:lang w:val="es-ES_tradnl"/>
        </w:rPr>
        <w:t xml:space="preserve"> nacionalización de las fuerzas hidráulicas para generación de electricidad </w:t>
      </w:r>
      <w:r w:rsidR="006B6D15">
        <w:rPr>
          <w:rFonts w:ascii="Arial" w:hAnsi="Arial" w:cs="Arial"/>
          <w:sz w:val="20"/>
          <w:szCs w:val="20"/>
          <w:lang w:val="es-ES_tradnl"/>
        </w:rPr>
        <w:t>se suscitó a raíz de la presión de movimientos sociales y por el manejo arbitrario de los recursos por parte de las empresas extranjeras que brindaban el servicio.  Entre 1932 y 1940 se dieron esfuerzos por regular empresas extranjeras. En la década de los cuarenta se le otorgaron más competencias al SNE, para regular al ICE y demás empresas eléctricas, acueductos y alcantarillados, y el servicio telefónico.</w:t>
      </w:r>
    </w:p>
    <w:p w:rsidR="006B6D15" w:rsidRDefault="006B6D15" w:rsidP="00005A06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Entre 1970 y 1990 el SNE toma un papel más activo en la definición técnica de precios de servicios, como el </w:t>
      </w:r>
      <w:r w:rsidR="00910951">
        <w:rPr>
          <w:rFonts w:ascii="Arial" w:hAnsi="Arial" w:cs="Arial"/>
          <w:sz w:val="20"/>
          <w:szCs w:val="20"/>
          <w:lang w:val="es-ES_tradnl"/>
        </w:rPr>
        <w:t xml:space="preserve">de los derivados del petróleo y transporte público. En 1996 se redefine el papel de la regulación y se transforma el SNE en Autoridad Reguladora de los Servicios Públicos, donde asume la regulación de más servicios públicos. </w:t>
      </w:r>
    </w:p>
    <w:p w:rsidR="00910951" w:rsidRDefault="00910951" w:rsidP="00005A06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En el 2008, la ley de la ARESEP vuelve a sufrir un cambio importante, donde se le otorgaron facultades a la Junta Directiva para redefinir su estructura interna y asuma la función de fijar tarifas, además, se creó la Superintendencia de Telecomunicaciones.</w:t>
      </w:r>
    </w:p>
    <w:p w:rsidR="00DD31A5" w:rsidRDefault="00DD31A5" w:rsidP="00005A06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En la actualidad la ARESEP regula tres grandes sectores: Agua, Energía y Transporte. De ahí se derivan múltiples servicios públicos que se muestran en el siguiente cuadro:</w:t>
      </w:r>
    </w:p>
    <w:p w:rsidR="00E47641" w:rsidRPr="00A57BFB" w:rsidRDefault="00E47641" w:rsidP="00E47641">
      <w:pPr>
        <w:tabs>
          <w:tab w:val="left" w:pos="8931"/>
        </w:tabs>
        <w:ind w:right="1177"/>
        <w:jc w:val="center"/>
        <w:rPr>
          <w:rFonts w:ascii="Arial" w:hAnsi="Arial" w:cs="Arial"/>
          <w:b/>
          <w:sz w:val="20"/>
          <w:szCs w:val="20"/>
        </w:rPr>
      </w:pPr>
      <w:r w:rsidRPr="00A57BFB">
        <w:rPr>
          <w:rFonts w:ascii="Arial" w:hAnsi="Arial" w:cs="Arial"/>
          <w:b/>
          <w:sz w:val="20"/>
          <w:szCs w:val="20"/>
        </w:rPr>
        <w:t>Servicios Públicos Regulados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8"/>
        <w:gridCol w:w="2705"/>
        <w:gridCol w:w="3294"/>
      </w:tblGrid>
      <w:tr w:rsidR="00E47641" w:rsidRPr="00A57BFB" w:rsidTr="00E47641">
        <w:tc>
          <w:tcPr>
            <w:tcW w:w="263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7BF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SECTOR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7BF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SUBSECTOR</w:t>
            </w:r>
          </w:p>
        </w:tc>
        <w:tc>
          <w:tcPr>
            <w:tcW w:w="3520" w:type="dxa"/>
            <w:shd w:val="clear" w:color="auto" w:fill="808080" w:themeFill="background1" w:themeFillShade="80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7BF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SERVICIO</w:t>
            </w:r>
          </w:p>
        </w:tc>
      </w:tr>
      <w:tr w:rsidR="00E47641" w:rsidRPr="00A57BFB" w:rsidTr="00E47641">
        <w:tc>
          <w:tcPr>
            <w:tcW w:w="263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BF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Agua y Saneamiento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Acueductos</w:t>
            </w:r>
          </w:p>
        </w:tc>
        <w:tc>
          <w:tcPr>
            <w:tcW w:w="3520" w:type="dxa"/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Agua potable y acueductos rurales</w:t>
            </w:r>
          </w:p>
        </w:tc>
      </w:tr>
      <w:tr w:rsidR="00E47641" w:rsidRPr="00A57BFB" w:rsidTr="00E47641"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Alcantarillados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Alcantarillados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Hidrantes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Riego y Avenamiento.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Riego y Avenamiento</w:t>
            </w:r>
          </w:p>
        </w:tc>
      </w:tr>
      <w:tr w:rsidR="00E47641" w:rsidRPr="00A57BFB" w:rsidTr="00E47641">
        <w:tc>
          <w:tcPr>
            <w:tcW w:w="88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641" w:rsidRPr="00A57BFB" w:rsidTr="00E47641"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BF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Energía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Electricidad.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Generación</w:t>
            </w:r>
          </w:p>
        </w:tc>
      </w:tr>
      <w:tr w:rsidR="00E47641" w:rsidRPr="00A57BFB" w:rsidTr="00E47641"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Transmisión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Distribución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Alumbrado público</w:t>
            </w:r>
          </w:p>
        </w:tc>
      </w:tr>
      <w:tr w:rsidR="00E47641" w:rsidRPr="00A57BFB" w:rsidTr="00E47641">
        <w:tc>
          <w:tcPr>
            <w:tcW w:w="88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Hidrocarburos.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 xml:space="preserve">Importación 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Transporte de combustible limpio y sucio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Estaciones de servicio (transporte terrestre, marítimo, aéreo)</w:t>
            </w:r>
          </w:p>
        </w:tc>
      </w:tr>
      <w:tr w:rsidR="00E47641" w:rsidRPr="00A57BFB" w:rsidTr="00E47641">
        <w:tc>
          <w:tcPr>
            <w:tcW w:w="8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641" w:rsidRPr="00A57BFB" w:rsidTr="00E47641"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BF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Transportes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Transporte Terrestre.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Buses</w:t>
            </w:r>
          </w:p>
        </w:tc>
      </w:tr>
      <w:tr w:rsidR="00E47641" w:rsidRPr="00A57BFB" w:rsidTr="00E47641"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Taxis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Ferrocarril de carga y pasajeros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Transporte aéreo y marítimo.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Servicios aeroportuarios para aeronaves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Puertos, cargas y descarga.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Estiba y desestiba.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Cabotaje (solo pasajeros: ferry, lanchas).</w:t>
            </w:r>
          </w:p>
        </w:tc>
      </w:tr>
      <w:tr w:rsidR="00E47641" w:rsidRPr="00A57BFB" w:rsidTr="00E47641">
        <w:tc>
          <w:tcPr>
            <w:tcW w:w="2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641" w:rsidRPr="00A57BFB" w:rsidRDefault="00E47641" w:rsidP="00FF1894">
            <w:pPr>
              <w:tabs>
                <w:tab w:val="left" w:pos="8931"/>
              </w:tabs>
              <w:ind w:right="1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7BFB">
              <w:rPr>
                <w:rFonts w:ascii="Arial" w:hAnsi="Arial" w:cs="Arial"/>
                <w:sz w:val="20"/>
                <w:szCs w:val="20"/>
              </w:rPr>
              <w:t>Servicios postales sociales (cartas menor 3 Kg).; RITEVE, peajes</w:t>
            </w:r>
          </w:p>
        </w:tc>
      </w:tr>
    </w:tbl>
    <w:p w:rsidR="00DD31A5" w:rsidRPr="00E47641" w:rsidRDefault="00DD31A5" w:rsidP="00005A0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42BD1" w:rsidRPr="001C0B87" w:rsidRDefault="00D42BD1" w:rsidP="00005A06">
      <w:pPr>
        <w:rPr>
          <w:rFonts w:ascii="Arial" w:eastAsia="HG Mincho Light J" w:hAnsi="Arial" w:cs="Arial"/>
          <w:b/>
          <w:color w:val="000000"/>
          <w:lang w:val="es-ES_tradnl"/>
        </w:rPr>
      </w:pPr>
      <w:r w:rsidRPr="001C0B87">
        <w:rPr>
          <w:rFonts w:ascii="Arial" w:eastAsia="HG Mincho Light J" w:hAnsi="Arial" w:cs="Arial"/>
          <w:b/>
          <w:color w:val="000000"/>
          <w:lang w:val="es-ES_tradnl"/>
        </w:rPr>
        <w:t>Marco estratégico institucional:</w:t>
      </w:r>
    </w:p>
    <w:p w:rsidR="00530013" w:rsidRPr="00AB3167" w:rsidRDefault="00530013" w:rsidP="00005A06">
      <w:pPr>
        <w:pStyle w:val="Ttulo1"/>
        <w:tabs>
          <w:tab w:val="left" w:pos="7740"/>
        </w:tabs>
        <w:ind w:left="3"/>
        <w:jc w:val="both"/>
        <w:rPr>
          <w:rFonts w:eastAsia="HG Mincho Light J"/>
          <w:bCs w:val="0"/>
          <w:color w:val="000000"/>
          <w:kern w:val="0"/>
          <w:sz w:val="20"/>
          <w:szCs w:val="20"/>
          <w:lang w:val="es-ES_tradnl"/>
        </w:rPr>
      </w:pPr>
      <w:r w:rsidRPr="00AB3167">
        <w:rPr>
          <w:rFonts w:eastAsia="HG Mincho Light J"/>
          <w:bCs w:val="0"/>
          <w:color w:val="000000"/>
          <w:kern w:val="0"/>
          <w:sz w:val="20"/>
          <w:szCs w:val="20"/>
          <w:lang w:val="es-ES_tradnl"/>
        </w:rPr>
        <w:t>MISIÓN</w:t>
      </w:r>
      <w:bookmarkEnd w:id="0"/>
    </w:p>
    <w:p w:rsidR="00530013" w:rsidRPr="00AB3167" w:rsidRDefault="00530013" w:rsidP="00005A06">
      <w:pPr>
        <w:shd w:val="clear" w:color="auto" w:fill="FFFFFF"/>
        <w:ind w:left="3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>Que los servicios públicos regulados se presten en condiciones óptimas de acceso, costo, calidad y variedad.</w:t>
      </w:r>
    </w:p>
    <w:p w:rsidR="00530013" w:rsidRPr="00AB3167" w:rsidRDefault="00530013" w:rsidP="00005A06">
      <w:pPr>
        <w:pStyle w:val="Ttulo1"/>
        <w:tabs>
          <w:tab w:val="left" w:pos="7740"/>
        </w:tabs>
        <w:ind w:left="3"/>
        <w:jc w:val="both"/>
        <w:rPr>
          <w:rFonts w:eastAsia="HG Mincho Light J"/>
          <w:bCs w:val="0"/>
          <w:color w:val="000000"/>
          <w:kern w:val="0"/>
          <w:sz w:val="20"/>
          <w:szCs w:val="20"/>
          <w:lang w:val="es-ES_tradnl"/>
        </w:rPr>
      </w:pPr>
      <w:bookmarkStart w:id="1" w:name="_Toc153341156"/>
      <w:r w:rsidRPr="00AB3167">
        <w:rPr>
          <w:rFonts w:eastAsia="HG Mincho Light J"/>
          <w:bCs w:val="0"/>
          <w:color w:val="000000"/>
          <w:kern w:val="0"/>
          <w:sz w:val="20"/>
          <w:szCs w:val="20"/>
          <w:lang w:val="es-ES_tradnl"/>
        </w:rPr>
        <w:t>VISIÓN</w:t>
      </w:r>
      <w:bookmarkEnd w:id="1"/>
    </w:p>
    <w:p w:rsidR="00530013" w:rsidRPr="00AB3167" w:rsidRDefault="00530013" w:rsidP="00005A06">
      <w:pPr>
        <w:shd w:val="clear" w:color="auto" w:fill="FFFFFF"/>
        <w:ind w:left="3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>Ser una Autoridad Reguladora:</w:t>
      </w:r>
    </w:p>
    <w:p w:rsidR="00530013" w:rsidRPr="00AB3167" w:rsidRDefault="00530013" w:rsidP="00005A0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" w:firstLine="0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 xml:space="preserve">comprometida con los usuarios de los servicios, </w:t>
      </w:r>
    </w:p>
    <w:p w:rsidR="00530013" w:rsidRPr="00AB3167" w:rsidRDefault="00530013" w:rsidP="00005A0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" w:firstLine="0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 xml:space="preserve">independiente en la toma de sus decisiones, </w:t>
      </w:r>
    </w:p>
    <w:p w:rsidR="00530013" w:rsidRPr="00AB3167" w:rsidRDefault="00530013" w:rsidP="00005A0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" w:firstLine="0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>innovadora y especializada en las materias de su competencia, y</w:t>
      </w:r>
    </w:p>
    <w:p w:rsidR="00530013" w:rsidRPr="00AB3167" w:rsidRDefault="00530013" w:rsidP="00005A0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" w:firstLine="0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>de alta credibilidad en la sociedad costarricense y ante la comunidad internacional; y</w:t>
      </w:r>
    </w:p>
    <w:p w:rsidR="00530013" w:rsidRPr="00AB3167" w:rsidRDefault="00530013" w:rsidP="00005A06">
      <w:pPr>
        <w:shd w:val="clear" w:color="auto" w:fill="FFFFFF"/>
        <w:ind w:left="3" w:firstLine="705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proofErr w:type="gramStart"/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>con</w:t>
      </w:r>
      <w:proofErr w:type="gramEnd"/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 xml:space="preserve"> un equipo de trabajo competente, motivado y comprometido con los objetivos institucionales.</w:t>
      </w:r>
      <w:bookmarkStart w:id="2" w:name="_Toc196903649"/>
      <w:bookmarkStart w:id="3" w:name="_Toc197310840"/>
      <w:bookmarkStart w:id="4" w:name="_Toc197311236"/>
      <w:bookmarkStart w:id="5" w:name="_Toc283377129"/>
    </w:p>
    <w:p w:rsidR="00530013" w:rsidRPr="00AB3167" w:rsidRDefault="00530013" w:rsidP="00005A06">
      <w:pPr>
        <w:shd w:val="clear" w:color="auto" w:fill="FFFFFF"/>
        <w:ind w:left="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VALORES</w:t>
      </w:r>
      <w:bookmarkEnd w:id="2"/>
      <w:bookmarkEnd w:id="3"/>
      <w:bookmarkEnd w:id="4"/>
      <w:bookmarkEnd w:id="5"/>
    </w:p>
    <w:p w:rsidR="00530013" w:rsidRPr="00AB3167" w:rsidRDefault="00530013" w:rsidP="00005A06">
      <w:pPr>
        <w:shd w:val="clear" w:color="auto" w:fill="FFFFFF"/>
        <w:ind w:left="3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/>
          <w:bCs/>
          <w:kern w:val="32"/>
          <w:sz w:val="20"/>
          <w:lang w:eastAsia="es-ES"/>
        </w:rPr>
        <w:t>Excelencia:</w:t>
      </w:r>
      <w:r w:rsidR="00CA1709">
        <w:rPr>
          <w:rFonts w:ascii="Arial" w:eastAsia="Times New Roman" w:hAnsi="Arial" w:cs="Arial"/>
          <w:bCs/>
          <w:kern w:val="32"/>
          <w:sz w:val="20"/>
          <w:lang w:eastAsia="es-ES"/>
        </w:rPr>
        <w:t xml:space="preserve"> </w:t>
      </w: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>El quehacer regulatorio debe buscar el mejoramiento continuo para alcanzar los más altos estándares de calidad y realizar las labores de la mejor manera.</w:t>
      </w:r>
    </w:p>
    <w:p w:rsidR="00530013" w:rsidRPr="00AB3167" w:rsidRDefault="00530013" w:rsidP="00005A06">
      <w:pPr>
        <w:shd w:val="clear" w:color="auto" w:fill="FFFFFF"/>
        <w:ind w:left="3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/>
          <w:bCs/>
          <w:kern w:val="32"/>
          <w:sz w:val="20"/>
          <w:lang w:eastAsia="es-ES"/>
        </w:rPr>
        <w:t>Transparencia:</w:t>
      </w: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 xml:space="preserve"> Los procesos de regulación deben ser conocidos y abiertos a la participación de los ciudadanos, y deben conducir a decisiones bien fundamentadas, que se basen en reglas claras cuya aplicación sea congruente.</w:t>
      </w:r>
    </w:p>
    <w:p w:rsidR="00530013" w:rsidRPr="00AB3167" w:rsidRDefault="00530013" w:rsidP="00005A06">
      <w:pPr>
        <w:shd w:val="clear" w:color="auto" w:fill="FFFFFF"/>
        <w:ind w:left="3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/>
          <w:bCs/>
          <w:kern w:val="32"/>
          <w:sz w:val="20"/>
          <w:lang w:eastAsia="es-ES"/>
        </w:rPr>
        <w:t>Independencia:</w:t>
      </w: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 xml:space="preserve">  Las decisiones regulatorias estarán exentas de influencias que puedan comprometer los resultados.</w:t>
      </w:r>
    </w:p>
    <w:p w:rsidR="00530013" w:rsidRPr="00AB3167" w:rsidRDefault="00530013" w:rsidP="00005A06">
      <w:pPr>
        <w:shd w:val="clear" w:color="auto" w:fill="FFFFFF"/>
        <w:ind w:left="3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/>
          <w:bCs/>
          <w:kern w:val="32"/>
          <w:sz w:val="20"/>
          <w:lang w:eastAsia="es-ES"/>
        </w:rPr>
        <w:t>Integridad:</w:t>
      </w: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 xml:space="preserve">  Las funciones deben ser ejecutadas con ética, honradez, discreción y responsabilidad.</w:t>
      </w:r>
    </w:p>
    <w:p w:rsidR="00DF30E9" w:rsidRPr="00B844C5" w:rsidRDefault="00530013" w:rsidP="00B844C5">
      <w:pPr>
        <w:shd w:val="clear" w:color="auto" w:fill="FFFFFF"/>
        <w:ind w:left="3"/>
        <w:jc w:val="both"/>
        <w:rPr>
          <w:rFonts w:ascii="Arial" w:eastAsia="Times New Roman" w:hAnsi="Arial" w:cs="Arial"/>
          <w:bCs/>
          <w:kern w:val="32"/>
          <w:sz w:val="20"/>
          <w:lang w:eastAsia="es-ES"/>
        </w:rPr>
      </w:pPr>
      <w:r w:rsidRPr="00AB3167">
        <w:rPr>
          <w:rFonts w:ascii="Arial" w:eastAsia="Times New Roman" w:hAnsi="Arial" w:cs="Arial"/>
          <w:b/>
          <w:bCs/>
          <w:kern w:val="32"/>
          <w:sz w:val="20"/>
          <w:lang w:eastAsia="es-ES"/>
        </w:rPr>
        <w:lastRenderedPageBreak/>
        <w:t>Solidaridad</w:t>
      </w:r>
      <w:proofErr w:type="gramStart"/>
      <w:r w:rsidRPr="00AB3167">
        <w:rPr>
          <w:rFonts w:ascii="Arial" w:eastAsia="Times New Roman" w:hAnsi="Arial" w:cs="Arial"/>
          <w:b/>
          <w:bCs/>
          <w:kern w:val="32"/>
          <w:sz w:val="20"/>
          <w:lang w:eastAsia="es-ES"/>
        </w:rPr>
        <w:t>:</w:t>
      </w:r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 xml:space="preserve">  En</w:t>
      </w:r>
      <w:proofErr w:type="gramEnd"/>
      <w:r w:rsidRPr="00AB3167">
        <w:rPr>
          <w:rFonts w:ascii="Arial" w:eastAsia="Times New Roman" w:hAnsi="Arial" w:cs="Arial"/>
          <w:bCs/>
          <w:kern w:val="32"/>
          <w:sz w:val="20"/>
          <w:lang w:eastAsia="es-ES"/>
        </w:rPr>
        <w:t xml:space="preserve"> las actuaciones regulatorias se debe proteger el bienestar de quienes no tienen oportunidad de defender adecuadamente sus intereses, en especial los grupos más vulnerables y las generaciones futuras, con base en los preceptos legales de equidad social y sostenibilidad ambiental.</w:t>
      </w:r>
    </w:p>
    <w:p w:rsidR="00D42BD1" w:rsidRDefault="00D42BD1" w:rsidP="00005A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estratégico Institucional:</w:t>
      </w:r>
    </w:p>
    <w:p w:rsidR="001C0B87" w:rsidRPr="001C0B87" w:rsidRDefault="001C0B87" w:rsidP="00005A06">
      <w:pPr>
        <w:pStyle w:val="Ttulo1"/>
        <w:tabs>
          <w:tab w:val="left" w:pos="7740"/>
        </w:tabs>
        <w:ind w:left="3"/>
        <w:jc w:val="both"/>
        <w:rPr>
          <w:rFonts w:eastAsia="HG Mincho Light J"/>
          <w:b w:val="0"/>
          <w:bCs w:val="0"/>
          <w:color w:val="000000"/>
          <w:kern w:val="0"/>
          <w:sz w:val="20"/>
          <w:szCs w:val="20"/>
          <w:lang w:val="es-ES_tradnl" w:eastAsia="en-US"/>
        </w:rPr>
      </w:pPr>
      <w:r w:rsidRPr="001C0B87">
        <w:rPr>
          <w:rFonts w:eastAsia="HG Mincho Light J"/>
          <w:b w:val="0"/>
          <w:bCs w:val="0"/>
          <w:color w:val="000000"/>
          <w:kern w:val="0"/>
          <w:sz w:val="20"/>
          <w:szCs w:val="20"/>
          <w:lang w:val="es-ES_tradnl" w:eastAsia="en-US"/>
        </w:rPr>
        <w:t>En el Plan Estratégico para el quinquenio 2012-2016, se definieron los siguientes objetivos estratégicos:</w:t>
      </w:r>
    </w:p>
    <w:p w:rsidR="001C0B87" w:rsidRPr="001C0B87" w:rsidRDefault="001C0B87" w:rsidP="00005A06">
      <w:pPr>
        <w:pStyle w:val="Prrafode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bookmarkStart w:id="6" w:name="_Toc196903658"/>
      <w:bookmarkStart w:id="7" w:name="_Toc197310849"/>
      <w:bookmarkStart w:id="8" w:name="_Toc197311245"/>
      <w:bookmarkStart w:id="9" w:name="_Toc196903655"/>
      <w:bookmarkStart w:id="10" w:name="_Toc197310846"/>
      <w:bookmarkStart w:id="11" w:name="_Toc197311242"/>
      <w:r w:rsidRPr="001C0B87">
        <w:rPr>
          <w:rFonts w:ascii="Arial" w:hAnsi="Arial" w:cs="Arial"/>
          <w:b/>
          <w:sz w:val="20"/>
          <w:szCs w:val="20"/>
        </w:rPr>
        <w:t>Fortalecer el marco jurídico regulatorio</w:t>
      </w:r>
    </w:p>
    <w:p w:rsidR="001C0B87" w:rsidRPr="001C0B87" w:rsidRDefault="001C0B87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  <w:r w:rsidRPr="001C0B87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Impulsar las reformas necesarias al marco jurídico con el objetivo de que la actividad regulatoria disponga de las herramientas necesarias para una regulación efectiva (1. </w:t>
      </w:r>
      <w:r w:rsidR="00AA39DE" w:rsidRPr="001C0B87">
        <w:rPr>
          <w:rFonts w:ascii="Arial" w:eastAsia="Times New Roman" w:hAnsi="Arial" w:cs="Arial"/>
          <w:color w:val="auto"/>
          <w:sz w:val="20"/>
          <w:szCs w:val="20"/>
          <w:lang w:eastAsia="es-ES"/>
        </w:rPr>
        <w:t>R</w:t>
      </w:r>
      <w:r w:rsidRPr="001C0B87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egulación tarifaria, 2. </w:t>
      </w:r>
      <w:r w:rsidR="00AA39DE" w:rsidRPr="001C0B87">
        <w:rPr>
          <w:rFonts w:ascii="Arial" w:eastAsia="Times New Roman" w:hAnsi="Arial" w:cs="Arial"/>
          <w:color w:val="auto"/>
          <w:sz w:val="20"/>
          <w:szCs w:val="20"/>
          <w:lang w:eastAsia="es-ES"/>
        </w:rPr>
        <w:t>R</w:t>
      </w:r>
      <w:r w:rsidRPr="001C0B87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egulación de la calidad, 3. </w:t>
      </w:r>
      <w:r w:rsidR="00AA39DE" w:rsidRPr="001C0B87">
        <w:rPr>
          <w:rFonts w:ascii="Arial" w:eastAsia="Times New Roman" w:hAnsi="Arial" w:cs="Arial"/>
          <w:color w:val="auto"/>
          <w:sz w:val="20"/>
          <w:szCs w:val="20"/>
          <w:lang w:eastAsia="es-ES"/>
        </w:rPr>
        <w:t>C</w:t>
      </w:r>
      <w:r w:rsidRPr="001C0B87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oncesiones y régimen sancionatorio). </w:t>
      </w:r>
    </w:p>
    <w:p w:rsidR="001C0B87" w:rsidRPr="001C0B87" w:rsidRDefault="001C0B87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</w:p>
    <w:p w:rsidR="001C0B87" w:rsidRPr="001C0B87" w:rsidRDefault="001C0B87" w:rsidP="00005A06">
      <w:pPr>
        <w:pStyle w:val="Default"/>
        <w:numPr>
          <w:ilvl w:val="0"/>
          <w:numId w:val="3"/>
        </w:numPr>
        <w:ind w:left="0" w:firstLine="0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es-ES"/>
        </w:rPr>
      </w:pPr>
      <w:r w:rsidRPr="001C0B87">
        <w:rPr>
          <w:rFonts w:ascii="Arial" w:eastAsia="Times New Roman" w:hAnsi="Arial" w:cs="Arial"/>
          <w:b/>
          <w:color w:val="auto"/>
          <w:sz w:val="20"/>
          <w:szCs w:val="20"/>
          <w:lang w:eastAsia="es-ES"/>
        </w:rPr>
        <w:t>Mejorar y perfeccionar las metodologías tarifarias</w:t>
      </w:r>
    </w:p>
    <w:p w:rsidR="001C0B87" w:rsidRPr="001C0B87" w:rsidRDefault="001C0B87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  <w:r w:rsidRPr="001C0B87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Las metodologías tarifarias deben ser más eficaces, consistentes, verificables y comprensibles para los operadores y usuarios. Para la ARESEP su aplicación debe ser más sencilla y ágil. </w:t>
      </w:r>
    </w:p>
    <w:p w:rsidR="001C0B87" w:rsidRPr="001C0B87" w:rsidRDefault="001C0B87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</w:p>
    <w:p w:rsidR="001C0B87" w:rsidRPr="001C0B87" w:rsidRDefault="001C0B87" w:rsidP="00005A06">
      <w:pPr>
        <w:pStyle w:val="Default"/>
        <w:numPr>
          <w:ilvl w:val="0"/>
          <w:numId w:val="3"/>
        </w:numPr>
        <w:ind w:left="0" w:firstLine="0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es-ES"/>
        </w:rPr>
      </w:pPr>
      <w:r w:rsidRPr="001C0B87">
        <w:rPr>
          <w:rFonts w:ascii="Arial" w:eastAsia="Times New Roman" w:hAnsi="Arial" w:cs="Arial"/>
          <w:b/>
          <w:color w:val="auto"/>
          <w:sz w:val="20"/>
          <w:szCs w:val="20"/>
          <w:lang w:eastAsia="es-ES"/>
        </w:rPr>
        <w:t>Mejorar la regulación de la calidad de los servicios públicos</w:t>
      </w:r>
    </w:p>
    <w:p w:rsidR="001C0B87" w:rsidRPr="001C0B87" w:rsidRDefault="001C0B87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  <w:r w:rsidRPr="001C0B87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La regulación de la calidad debe estar orientada hacia estándares internacionales, mediante la adopción de un sistema de indicadores de calidad, la contratación de organismos técnicos acreditados y el fortalecimiento de la fiscalización, supervisión e inspección del cumplimiento de la normativa de calidad, así como la aplicación de sanciones en caso de incumplimiento. </w:t>
      </w:r>
    </w:p>
    <w:p w:rsidR="001C0B87" w:rsidRPr="001C0B87" w:rsidRDefault="001C0B87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</w:p>
    <w:tbl>
      <w:tblPr>
        <w:tblW w:w="88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87"/>
      </w:tblGrid>
      <w:tr w:rsidR="001C0B87" w:rsidRPr="001C0B87" w:rsidTr="00B844C5">
        <w:trPr>
          <w:trHeight w:val="1285"/>
        </w:trPr>
        <w:tc>
          <w:tcPr>
            <w:tcW w:w="8887" w:type="dxa"/>
          </w:tcPr>
          <w:p w:rsidR="001C0B87" w:rsidRPr="001C0B87" w:rsidRDefault="001C0B87" w:rsidP="00005A06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es-ES"/>
              </w:rPr>
            </w:pPr>
            <w:r w:rsidRPr="001C0B8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es-ES"/>
              </w:rPr>
              <w:t xml:space="preserve">Fortalecer la participación y consejería del usuario </w:t>
            </w:r>
          </w:p>
          <w:p w:rsidR="001C0B87" w:rsidRPr="001C0B87" w:rsidRDefault="001C0B87" w:rsidP="00005A06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</w:pPr>
            <w:r w:rsidRPr="001C0B87"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  <w:t xml:space="preserve">Se fortalecerá la participación y consejería del usuario en la actividad regulatoria mediante: </w:t>
            </w:r>
          </w:p>
          <w:p w:rsidR="001C0B87" w:rsidRPr="001C0B87" w:rsidRDefault="001C0B87" w:rsidP="00005A06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</w:pPr>
            <w:r w:rsidRPr="001C0B87"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  <w:t xml:space="preserve">a) la educación e información al usuario para la defensa de sus derechos con respecto a los servicios públicos que recibe; </w:t>
            </w:r>
          </w:p>
          <w:p w:rsidR="001C0B87" w:rsidRPr="001C0B87" w:rsidRDefault="001C0B87" w:rsidP="00005A06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</w:pPr>
            <w:r w:rsidRPr="001C0B87"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  <w:t>b) la respues</w:t>
            </w:r>
            <w:r w:rsidR="00CA1709"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  <w:t>ta oportuna, sustentada y conci</w:t>
            </w:r>
            <w:r w:rsidRPr="001C0B87"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  <w:t xml:space="preserve">liada a las consultas, quejas y denuncias; para lo cual se implementarán medios tecnológicos que faciliten y simplifiquen los trámites que realizan los usuarios; </w:t>
            </w:r>
          </w:p>
          <w:p w:rsidR="001C0B87" w:rsidRPr="001C0B87" w:rsidRDefault="001C0B87" w:rsidP="00005A06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</w:pPr>
            <w:r w:rsidRPr="001C0B87"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  <w:t xml:space="preserve">c) una consejería al usuario oportuna, eficaz y eficiente, coordinada con las dependencias técnicas de la ARESEP y apoyada en la asignación de peritos externos; </w:t>
            </w:r>
          </w:p>
          <w:p w:rsidR="001C0B87" w:rsidRPr="001C0B87" w:rsidRDefault="001C0B87" w:rsidP="00005A06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</w:pPr>
            <w:r w:rsidRPr="001C0B87"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  <w:t xml:space="preserve">d) la realización de audiencias públicas planificadas, controladas y participativas que procuren resultados transparentes, comprensibles y con bases sustentables; y </w:t>
            </w:r>
          </w:p>
          <w:p w:rsidR="001C0B87" w:rsidRPr="001C0B87" w:rsidRDefault="001C0B87" w:rsidP="00005A06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</w:pPr>
            <w:r w:rsidRPr="001C0B87"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  <w:t xml:space="preserve">e) la investigación y análisis de la participación de los usuarios, que permita generar insumos para un proceso regulatorio integral. </w:t>
            </w:r>
          </w:p>
          <w:p w:rsidR="001C0B87" w:rsidRPr="001C0B87" w:rsidRDefault="001C0B87" w:rsidP="00005A06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</w:pPr>
          </w:p>
          <w:tbl>
            <w:tblPr>
              <w:tblW w:w="8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58"/>
              <w:gridCol w:w="114"/>
            </w:tblGrid>
            <w:tr w:rsidR="001C0B87" w:rsidRPr="001C0B87" w:rsidTr="003A4536">
              <w:trPr>
                <w:trHeight w:val="706"/>
              </w:trPr>
              <w:tc>
                <w:tcPr>
                  <w:tcW w:w="8772" w:type="dxa"/>
                  <w:gridSpan w:val="2"/>
                </w:tcPr>
                <w:p w:rsidR="001C0B87" w:rsidRPr="001C0B87" w:rsidRDefault="001C0B87" w:rsidP="00005A06">
                  <w:pPr>
                    <w:pStyle w:val="Default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s-ES"/>
                    </w:rPr>
                  </w:pPr>
                  <w:r w:rsidRPr="001C0B87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s-ES"/>
                    </w:rPr>
                    <w:t xml:space="preserve">Mantener y desarrollar la excelencia de los funcionarios </w:t>
                  </w:r>
                </w:p>
                <w:p w:rsidR="001C0B87" w:rsidRPr="001C0B87" w:rsidRDefault="001C0B87" w:rsidP="00005A06">
                  <w:pPr>
                    <w:pStyle w:val="Default"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</w:pPr>
                  <w:r w:rsidRPr="001C0B8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  <w:t xml:space="preserve">La ARESEP debe ser líder en materia de regulación de servicios públicos. Su autoridad deberá ser reconocida por los diferentes actores debido a la excelencia técnica y la ética de sus funcionarios. Para ello existirá una gestión sistematizada del conocimiento institucional, apoyada en tecnología de información. </w:t>
                  </w:r>
                </w:p>
              </w:tc>
            </w:tr>
            <w:tr w:rsidR="001C0B87" w:rsidRPr="001C0B87" w:rsidTr="003A4536">
              <w:trPr>
                <w:trHeight w:val="110"/>
              </w:trPr>
              <w:tc>
                <w:tcPr>
                  <w:tcW w:w="8772" w:type="dxa"/>
                  <w:gridSpan w:val="2"/>
                </w:tcPr>
                <w:p w:rsidR="001C0B87" w:rsidRPr="001C0B87" w:rsidRDefault="001C0B87" w:rsidP="00005A06">
                  <w:pPr>
                    <w:pStyle w:val="Default"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1C0B87" w:rsidRPr="001C0B87" w:rsidTr="003A4536">
              <w:trPr>
                <w:gridAfter w:val="1"/>
                <w:wAfter w:w="114" w:type="dxa"/>
                <w:trHeight w:val="1356"/>
              </w:trPr>
              <w:tc>
                <w:tcPr>
                  <w:tcW w:w="8658" w:type="dxa"/>
                </w:tcPr>
                <w:p w:rsidR="001C0B87" w:rsidRPr="001C0B87" w:rsidRDefault="001C0B87" w:rsidP="00005A06">
                  <w:pPr>
                    <w:pStyle w:val="Default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s-ES"/>
                    </w:rPr>
                  </w:pPr>
                  <w:r w:rsidRPr="001C0B87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s-ES"/>
                    </w:rPr>
                    <w:t xml:space="preserve">Consolidar las capacidades organizacionales </w:t>
                  </w:r>
                </w:p>
                <w:p w:rsidR="001C0B87" w:rsidRDefault="001C0B87" w:rsidP="00817ADC">
                  <w:pPr>
                    <w:pStyle w:val="Default"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</w:pPr>
                  <w:r w:rsidRPr="001C0B8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  <w:t>Consolidar la estructura organizativa y dotar a la organización del recurso humano, la tecnología y el clima organizacional necesario para el cumplimiento de las funciones asignadas por ley</w:t>
                  </w:r>
                  <w:r w:rsidR="00817AD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  <w:t xml:space="preserve">. </w:t>
                  </w:r>
                </w:p>
                <w:p w:rsidR="00817ADC" w:rsidRDefault="00817ADC" w:rsidP="00817ADC">
                  <w:pPr>
                    <w:pStyle w:val="Default"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</w:pPr>
                </w:p>
                <w:p w:rsidR="00817ADC" w:rsidRPr="001C0B87" w:rsidRDefault="00817ADC" w:rsidP="00817ADC">
                  <w:pPr>
                    <w:pStyle w:val="Default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s-ES"/>
                    </w:rPr>
                  </w:pPr>
                  <w:r w:rsidRPr="001C0B87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s-ES"/>
                    </w:rPr>
                    <w:t xml:space="preserve">Incrementar la eficiencia operativa </w:t>
                  </w:r>
                </w:p>
                <w:p w:rsidR="00817ADC" w:rsidRDefault="00817ADC" w:rsidP="00817ADC">
                  <w:pPr>
                    <w:pStyle w:val="Default"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</w:pPr>
                  <w:r w:rsidRPr="001C0B8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  <w:t>La eficiencia y la seguridad de las operaciones en las áreas sustantivas y de apoyo será incrementada mediante la estandarización de procesos y procedimientos de trabajo, apalancados en el uso de tecnología de información de forma tal que se incorporen las últimas tendencias en este campo (por ejemplo: servicios en la nube y firma digital) y en la tercerización de servicios (</w:t>
                  </w:r>
                  <w:proofErr w:type="spellStart"/>
                  <w:r w:rsidRPr="001C0B8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  <w:t>outsourcing</w:t>
                  </w:r>
                  <w:proofErr w:type="spellEnd"/>
                  <w:r w:rsidRPr="001C0B8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  <w:t>). Desarrollar una cultura de ejecución y gestión de proyectos será clave para el logro de este objetivo</w:t>
                  </w: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  <w:t>.</w:t>
                  </w:r>
                </w:p>
                <w:p w:rsidR="00817ADC" w:rsidRDefault="00817ADC" w:rsidP="00817ADC">
                  <w:pPr>
                    <w:pStyle w:val="Default"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</w:pPr>
                </w:p>
                <w:p w:rsidR="00817ADC" w:rsidRPr="001C0B87" w:rsidRDefault="00817ADC" w:rsidP="00817ADC">
                  <w:pPr>
                    <w:pStyle w:val="Default"/>
                    <w:numPr>
                      <w:ilvl w:val="0"/>
                      <w:numId w:val="3"/>
                    </w:numPr>
                    <w:ind w:left="0" w:firstLine="0"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s-ES"/>
                    </w:rPr>
                  </w:pPr>
                  <w:r w:rsidRPr="001C0B87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  <w:lang w:eastAsia="es-ES"/>
                    </w:rPr>
                    <w:t xml:space="preserve">Fortalecer la rendición de cuentas </w:t>
                  </w:r>
                </w:p>
                <w:p w:rsidR="00817ADC" w:rsidRPr="001C0B87" w:rsidRDefault="00817ADC" w:rsidP="00817ADC">
                  <w:pPr>
                    <w:pStyle w:val="Default"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</w:pPr>
                  <w:r w:rsidRPr="001C0B87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  <w:t>Establecer canales adecuados para que los usuarios, regulados y las instituciones de fiscalización y control tengan acceso a todas las decisiones sobre temas regulatorios y en general sobre el manejo de los recursos público</w:t>
                  </w:r>
                  <w:r w:rsidR="00156C52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es-ES"/>
                    </w:rPr>
                    <w:t>s que administra la Institución.</w:t>
                  </w:r>
                </w:p>
              </w:tc>
            </w:tr>
          </w:tbl>
          <w:p w:rsidR="001C0B87" w:rsidRPr="001C0B87" w:rsidRDefault="001C0B87" w:rsidP="00005A06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es-ES"/>
              </w:rPr>
            </w:pPr>
          </w:p>
        </w:tc>
      </w:tr>
    </w:tbl>
    <w:p w:rsidR="00AA39DE" w:rsidRPr="00AA39DE" w:rsidRDefault="00156C52" w:rsidP="00005A06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es-ES"/>
        </w:rPr>
      </w:pPr>
      <w:r w:rsidRPr="00156C52">
        <w:rPr>
          <w:rFonts w:ascii="Arial" w:eastAsia="Times New Roman" w:hAnsi="Arial" w:cs="Arial"/>
          <w:color w:val="auto"/>
          <w:sz w:val="20"/>
          <w:szCs w:val="20"/>
          <w:lang w:eastAsia="es-ES"/>
        </w:rPr>
        <w:lastRenderedPageBreak/>
        <w:t xml:space="preserve">De acuerdo con los </w:t>
      </w:r>
      <w:r w:rsidR="00AA39DE" w:rsidRPr="00156C52">
        <w:rPr>
          <w:rFonts w:ascii="Arial" w:eastAsia="Times New Roman" w:hAnsi="Arial" w:cs="Arial"/>
          <w:color w:val="auto"/>
          <w:sz w:val="20"/>
          <w:szCs w:val="20"/>
          <w:lang w:eastAsia="es-ES"/>
        </w:rPr>
        <w:t>Objetivo</w:t>
      </w:r>
      <w:r w:rsidR="00A660A3" w:rsidRPr="00156C52">
        <w:rPr>
          <w:rFonts w:ascii="Arial" w:eastAsia="Times New Roman" w:hAnsi="Arial" w:cs="Arial"/>
          <w:color w:val="auto"/>
          <w:sz w:val="20"/>
          <w:szCs w:val="20"/>
          <w:lang w:eastAsia="es-ES"/>
        </w:rPr>
        <w:t>s</w:t>
      </w:r>
      <w:r w:rsidR="00AA39DE" w:rsidRPr="00156C52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 Estratégico</w:t>
      </w:r>
      <w:r w:rsidR="00A660A3" w:rsidRPr="00156C52">
        <w:rPr>
          <w:rFonts w:ascii="Arial" w:eastAsia="Times New Roman" w:hAnsi="Arial" w:cs="Arial"/>
          <w:color w:val="auto"/>
          <w:sz w:val="20"/>
          <w:szCs w:val="20"/>
          <w:lang w:eastAsia="es-ES"/>
        </w:rPr>
        <w:t>s</w:t>
      </w:r>
      <w:r w:rsidR="00AA39DE" w:rsidRPr="00156C52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 Institucional</w:t>
      </w:r>
      <w:r w:rsidR="00A660A3" w:rsidRPr="00156C52">
        <w:rPr>
          <w:rFonts w:ascii="Arial" w:eastAsia="Times New Roman" w:hAnsi="Arial" w:cs="Arial"/>
          <w:color w:val="auto"/>
          <w:sz w:val="20"/>
          <w:szCs w:val="20"/>
          <w:lang w:eastAsia="es-ES"/>
        </w:rPr>
        <w:t>es</w:t>
      </w:r>
      <w:r w:rsidRPr="00156C52"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, que se observan en el siguiente diagrama, la función primordial de la Contraloría de Servicios se debe orientar hacia el </w:t>
      </w:r>
      <w:r>
        <w:rPr>
          <w:rFonts w:ascii="Arial" w:eastAsia="Times New Roman" w:hAnsi="Arial" w:cs="Arial"/>
          <w:color w:val="auto"/>
          <w:sz w:val="20"/>
          <w:szCs w:val="20"/>
          <w:lang w:eastAsia="es-ES"/>
        </w:rPr>
        <w:t>quinto y sétimo</w:t>
      </w:r>
      <w:r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 objetivos</w:t>
      </w:r>
      <w:r>
        <w:rPr>
          <w:rFonts w:ascii="Arial" w:eastAsia="Times New Roman" w:hAnsi="Arial" w:cs="Arial"/>
          <w:color w:val="auto"/>
          <w:sz w:val="20"/>
          <w:szCs w:val="20"/>
          <w:lang w:eastAsia="es-ES"/>
        </w:rPr>
        <w:t xml:space="preserve">: </w:t>
      </w:r>
      <w:r w:rsidRPr="00A660A3">
        <w:rPr>
          <w:rFonts w:ascii="Arial" w:eastAsia="Times New Roman" w:hAnsi="Arial" w:cs="Arial"/>
          <w:b/>
          <w:color w:val="auto"/>
          <w:sz w:val="20"/>
          <w:szCs w:val="20"/>
          <w:lang w:eastAsia="es-ES"/>
        </w:rPr>
        <w:t>Mantener y desarrollar la excelencia de los funcionarios e Incrementar la eficiencia operativ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es-ES"/>
        </w:rPr>
        <w:t>.</w:t>
      </w:r>
    </w:p>
    <w:p w:rsidR="00AA39DE" w:rsidRDefault="00AA39DE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</w:p>
    <w:p w:rsidR="00AA39DE" w:rsidRDefault="00A660A3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val="es-CR" w:eastAsia="es-CR"/>
        </w:rPr>
        <w:drawing>
          <wp:inline distT="0" distB="0" distL="0" distR="0">
            <wp:extent cx="5229225" cy="386098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61" cy="386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DE" w:rsidRDefault="00AA39DE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</w:p>
    <w:p w:rsidR="00A660A3" w:rsidRPr="001C0B87" w:rsidRDefault="00A660A3" w:rsidP="00005A06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es-ES"/>
        </w:rPr>
      </w:pPr>
    </w:p>
    <w:bookmarkEnd w:id="6"/>
    <w:bookmarkEnd w:id="7"/>
    <w:bookmarkEnd w:id="8"/>
    <w:bookmarkEnd w:id="9"/>
    <w:bookmarkEnd w:id="10"/>
    <w:bookmarkEnd w:id="11"/>
    <w:p w:rsidR="00DF30E9" w:rsidRPr="00D14F35" w:rsidRDefault="00D14F35" w:rsidP="00005A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4F35">
        <w:rPr>
          <w:rFonts w:ascii="Arial" w:hAnsi="Arial" w:cs="Arial"/>
          <w:b/>
          <w:sz w:val="20"/>
          <w:szCs w:val="20"/>
        </w:rPr>
        <w:t xml:space="preserve">Objetivo </w:t>
      </w:r>
      <w:r w:rsidR="00AA39DE">
        <w:rPr>
          <w:rFonts w:ascii="Arial" w:hAnsi="Arial" w:cs="Arial"/>
          <w:b/>
          <w:sz w:val="20"/>
          <w:szCs w:val="20"/>
        </w:rPr>
        <w:t>anual operativo</w:t>
      </w:r>
      <w:r w:rsidRPr="00D14F35">
        <w:rPr>
          <w:rFonts w:ascii="Arial" w:hAnsi="Arial" w:cs="Arial"/>
          <w:b/>
          <w:sz w:val="20"/>
          <w:szCs w:val="20"/>
        </w:rPr>
        <w:t>:</w:t>
      </w:r>
    </w:p>
    <w:p w:rsidR="00CA1709" w:rsidRDefault="00D14F35" w:rsidP="00005A0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Velar </w:t>
      </w:r>
      <w:r w:rsidR="00A660A3">
        <w:rPr>
          <w:rFonts w:ascii="Arial" w:hAnsi="Arial" w:cs="Arial"/>
          <w:sz w:val="20"/>
          <w:szCs w:val="20"/>
        </w:rPr>
        <w:t xml:space="preserve">e incentivar </w:t>
      </w:r>
      <w:r>
        <w:rPr>
          <w:rFonts w:ascii="Arial" w:hAnsi="Arial" w:cs="Arial"/>
          <w:sz w:val="20"/>
          <w:szCs w:val="20"/>
        </w:rPr>
        <w:t xml:space="preserve">una adecuada prestación de los servicios que </w:t>
      </w:r>
      <w:r w:rsidR="00817ADC">
        <w:rPr>
          <w:rFonts w:ascii="Arial" w:hAnsi="Arial" w:cs="Arial"/>
          <w:sz w:val="20"/>
          <w:szCs w:val="20"/>
        </w:rPr>
        <w:t>brinda</w:t>
      </w:r>
      <w:r>
        <w:rPr>
          <w:rFonts w:ascii="Arial" w:hAnsi="Arial" w:cs="Arial"/>
          <w:sz w:val="20"/>
          <w:szCs w:val="20"/>
        </w:rPr>
        <w:t xml:space="preserve"> la </w:t>
      </w:r>
      <w:r w:rsidR="00CA1709">
        <w:rPr>
          <w:rFonts w:ascii="Arial" w:hAnsi="Arial" w:cs="Arial"/>
          <w:sz w:val="20"/>
          <w:szCs w:val="20"/>
        </w:rPr>
        <w:t>Autoridad Reguladora</w:t>
      </w:r>
      <w:r>
        <w:rPr>
          <w:rFonts w:ascii="Arial" w:hAnsi="Arial" w:cs="Arial"/>
          <w:sz w:val="20"/>
          <w:szCs w:val="20"/>
        </w:rPr>
        <w:t xml:space="preserve"> de manera que los usuarios </w:t>
      </w:r>
      <w:r w:rsidR="00EE5193">
        <w:rPr>
          <w:rFonts w:ascii="Arial" w:hAnsi="Arial" w:cs="Arial"/>
          <w:sz w:val="20"/>
          <w:szCs w:val="20"/>
        </w:rPr>
        <w:t xml:space="preserve">–externos e internos- </w:t>
      </w:r>
      <w:r>
        <w:rPr>
          <w:rFonts w:ascii="Arial" w:hAnsi="Arial" w:cs="Arial"/>
          <w:sz w:val="20"/>
          <w:szCs w:val="20"/>
        </w:rPr>
        <w:t>estén satisfechos con los trámites y gestiones que realizan</w:t>
      </w:r>
      <w:r w:rsidR="00CA1709">
        <w:rPr>
          <w:rFonts w:ascii="Arial" w:hAnsi="Arial" w:cs="Arial"/>
          <w:sz w:val="20"/>
          <w:szCs w:val="20"/>
        </w:rPr>
        <w:t>.</w:t>
      </w:r>
    </w:p>
    <w:p w:rsidR="00D14F35" w:rsidRPr="00D14F35" w:rsidRDefault="00D14F35" w:rsidP="00005A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4F35">
        <w:rPr>
          <w:rFonts w:ascii="Arial" w:hAnsi="Arial" w:cs="Arial"/>
          <w:b/>
          <w:sz w:val="20"/>
          <w:szCs w:val="20"/>
        </w:rPr>
        <w:t>Objetivos específicos:</w:t>
      </w:r>
    </w:p>
    <w:p w:rsidR="00D14F35" w:rsidRDefault="00D14F35" w:rsidP="00005A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Atender usuarios que denuncien algún problema en los trámites que realiza</w:t>
      </w:r>
      <w:r w:rsidR="00EE51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en la ARESEP.</w:t>
      </w:r>
    </w:p>
    <w:p w:rsidR="004E5EA4" w:rsidRDefault="004E5EA4" w:rsidP="00005A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Posicionar a la Contraloría dentro de los funcionarios como instancia para recibir quejas sobre la Administración, de tal manera que se canalicen y sean conocidas por las autoridades para su atención.</w:t>
      </w:r>
      <w:bookmarkStart w:id="12" w:name="_GoBack"/>
      <w:bookmarkEnd w:id="12"/>
    </w:p>
    <w:p w:rsidR="00D14F35" w:rsidRDefault="004E5EA4" w:rsidP="00005A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Conocer principales problemas</w:t>
      </w:r>
      <w:r w:rsidR="00D14F35">
        <w:rPr>
          <w:rFonts w:ascii="Arial" w:hAnsi="Arial" w:cs="Arial"/>
          <w:sz w:val="20"/>
          <w:szCs w:val="20"/>
        </w:rPr>
        <w:t xml:space="preserve"> de los usuarios, </w:t>
      </w:r>
      <w:r>
        <w:rPr>
          <w:rFonts w:ascii="Arial" w:hAnsi="Arial" w:cs="Arial"/>
          <w:sz w:val="20"/>
          <w:szCs w:val="20"/>
        </w:rPr>
        <w:t>para diseñar estrategias que ayuden a mejorar procesos dentro de la Institución.</w:t>
      </w:r>
    </w:p>
    <w:p w:rsidR="00D14F35" w:rsidRDefault="004E5EA4" w:rsidP="00005A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Promover mejores prácticas de atención a los usuarios entre los funcionarios de la ARESEP</w:t>
      </w:r>
      <w:r w:rsidR="00D14F35">
        <w:rPr>
          <w:rFonts w:ascii="Arial" w:hAnsi="Arial" w:cs="Arial"/>
          <w:sz w:val="20"/>
          <w:szCs w:val="20"/>
        </w:rPr>
        <w:t>.</w:t>
      </w:r>
    </w:p>
    <w:p w:rsidR="00A40827" w:rsidRDefault="00A40827" w:rsidP="00005A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Apoyar al Regulador en los cambios organizacionales.</w:t>
      </w:r>
    </w:p>
    <w:p w:rsidR="00D14F35" w:rsidRDefault="00D14F35" w:rsidP="00005A06">
      <w:pPr>
        <w:pStyle w:val="Prrafodelista"/>
        <w:numPr>
          <w:ilvl w:val="0"/>
          <w:numId w:val="1"/>
        </w:numPr>
        <w:spacing w:line="240" w:lineRule="auto"/>
        <w:ind w:righ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 informe anual de trabajo de la Contraloría de Servicios.</w:t>
      </w:r>
    </w:p>
    <w:p w:rsidR="00A660A3" w:rsidRDefault="00A660A3" w:rsidP="00A660A3">
      <w:pPr>
        <w:spacing w:line="240" w:lineRule="auto"/>
        <w:ind w:right="709"/>
        <w:jc w:val="both"/>
        <w:rPr>
          <w:rFonts w:ascii="Arial" w:hAnsi="Arial" w:cs="Arial"/>
          <w:sz w:val="20"/>
          <w:szCs w:val="20"/>
        </w:rPr>
      </w:pPr>
    </w:p>
    <w:p w:rsidR="00A660A3" w:rsidRDefault="00A660A3" w:rsidP="00A660A3">
      <w:pPr>
        <w:spacing w:line="240" w:lineRule="auto"/>
        <w:ind w:right="709"/>
        <w:jc w:val="both"/>
        <w:rPr>
          <w:rFonts w:ascii="Arial" w:hAnsi="Arial" w:cs="Arial"/>
          <w:sz w:val="20"/>
          <w:szCs w:val="20"/>
        </w:rPr>
      </w:pPr>
    </w:p>
    <w:p w:rsidR="00A660A3" w:rsidRDefault="00A660A3" w:rsidP="00A660A3">
      <w:pPr>
        <w:spacing w:line="240" w:lineRule="auto"/>
        <w:ind w:right="709"/>
        <w:jc w:val="both"/>
        <w:rPr>
          <w:rFonts w:ascii="Arial" w:hAnsi="Arial" w:cs="Arial"/>
          <w:sz w:val="20"/>
          <w:szCs w:val="20"/>
        </w:rPr>
      </w:pPr>
    </w:p>
    <w:p w:rsidR="004E5EA4" w:rsidRDefault="004E5EA4" w:rsidP="00A660A3">
      <w:pPr>
        <w:spacing w:line="240" w:lineRule="auto"/>
        <w:ind w:right="709"/>
        <w:jc w:val="both"/>
        <w:rPr>
          <w:rFonts w:ascii="Arial" w:hAnsi="Arial" w:cs="Arial"/>
          <w:sz w:val="20"/>
          <w:szCs w:val="20"/>
        </w:rPr>
      </w:pPr>
    </w:p>
    <w:p w:rsidR="00A660A3" w:rsidRPr="00A660A3" w:rsidRDefault="00A660A3" w:rsidP="00A660A3">
      <w:pPr>
        <w:spacing w:line="240" w:lineRule="auto"/>
        <w:ind w:right="709"/>
        <w:jc w:val="both"/>
        <w:rPr>
          <w:rFonts w:ascii="Arial" w:hAnsi="Arial" w:cs="Arial"/>
          <w:sz w:val="20"/>
          <w:szCs w:val="20"/>
        </w:rPr>
      </w:pPr>
    </w:p>
    <w:tbl>
      <w:tblPr>
        <w:tblW w:w="986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1418"/>
        <w:gridCol w:w="1275"/>
        <w:gridCol w:w="2409"/>
        <w:gridCol w:w="1005"/>
        <w:gridCol w:w="45"/>
        <w:gridCol w:w="1502"/>
      </w:tblGrid>
      <w:tr w:rsidR="00AA39DE" w:rsidTr="00A660A3">
        <w:trPr>
          <w:trHeight w:val="315"/>
        </w:trPr>
        <w:tc>
          <w:tcPr>
            <w:tcW w:w="2214" w:type="dxa"/>
            <w:shd w:val="clear" w:color="auto" w:fill="548DD4" w:themeFill="text2" w:themeFillTint="99"/>
          </w:tcPr>
          <w:p w:rsidR="00AA39DE" w:rsidRPr="00530013" w:rsidRDefault="00AA39DE" w:rsidP="00C703D4">
            <w:pPr>
              <w:spacing w:line="240" w:lineRule="auto"/>
              <w:ind w:left="-54" w:right="7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Objetivo anual operativo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AA39DE" w:rsidRPr="00530013" w:rsidRDefault="00AA39DE" w:rsidP="00530013">
            <w:pPr>
              <w:spacing w:line="240" w:lineRule="auto"/>
              <w:ind w:left="-54" w:right="709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3001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:rsidR="00AA39DE" w:rsidRPr="00530013" w:rsidRDefault="00AA39DE" w:rsidP="00AA39DE">
            <w:pPr>
              <w:spacing w:line="240" w:lineRule="auto"/>
              <w:ind w:left="-54" w:right="97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3001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2409" w:type="dxa"/>
            <w:shd w:val="clear" w:color="auto" w:fill="548DD4" w:themeFill="text2" w:themeFillTint="99"/>
          </w:tcPr>
          <w:p w:rsidR="00AA39DE" w:rsidRPr="00530013" w:rsidRDefault="00AA39DE" w:rsidP="00530013">
            <w:pPr>
              <w:spacing w:line="240" w:lineRule="auto"/>
              <w:ind w:left="-54" w:right="709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Actividades</w:t>
            </w:r>
          </w:p>
        </w:tc>
        <w:tc>
          <w:tcPr>
            <w:tcW w:w="1050" w:type="dxa"/>
            <w:gridSpan w:val="2"/>
            <w:shd w:val="clear" w:color="auto" w:fill="548DD4" w:themeFill="text2" w:themeFillTint="99"/>
          </w:tcPr>
          <w:p w:rsidR="00AA39DE" w:rsidRPr="00DE386F" w:rsidRDefault="00C703D4" w:rsidP="00DE386F">
            <w:pPr>
              <w:spacing w:line="240" w:lineRule="auto"/>
              <w:ind w:left="-5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38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Tiempo</w:t>
            </w:r>
          </w:p>
        </w:tc>
        <w:tc>
          <w:tcPr>
            <w:tcW w:w="1502" w:type="dxa"/>
            <w:shd w:val="clear" w:color="auto" w:fill="548DD4" w:themeFill="text2" w:themeFillTint="99"/>
          </w:tcPr>
          <w:p w:rsidR="00AA39DE" w:rsidRPr="00DE386F" w:rsidRDefault="00C703D4" w:rsidP="00901A6C">
            <w:pPr>
              <w:spacing w:line="240" w:lineRule="auto"/>
              <w:ind w:left="-54" w:right="7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38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</w:tr>
      <w:tr w:rsidR="00AA39DE" w:rsidTr="00A660A3">
        <w:trPr>
          <w:trHeight w:val="2730"/>
        </w:trPr>
        <w:tc>
          <w:tcPr>
            <w:tcW w:w="2214" w:type="dxa"/>
          </w:tcPr>
          <w:p w:rsidR="00AA39DE" w:rsidRPr="00522B4E" w:rsidRDefault="00AA39DE" w:rsidP="00522B4E">
            <w:pPr>
              <w:pStyle w:val="Prrafodelista"/>
              <w:numPr>
                <w:ilvl w:val="0"/>
                <w:numId w:val="7"/>
              </w:numPr>
              <w:spacing w:line="240" w:lineRule="auto"/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B4E">
              <w:rPr>
                <w:rFonts w:ascii="Arial" w:hAnsi="Arial" w:cs="Arial"/>
                <w:sz w:val="20"/>
                <w:szCs w:val="20"/>
              </w:rPr>
              <w:t>Aten</w:t>
            </w:r>
            <w:r w:rsidR="00A660A3">
              <w:rPr>
                <w:rFonts w:ascii="Arial" w:hAnsi="Arial" w:cs="Arial"/>
                <w:sz w:val="20"/>
                <w:szCs w:val="20"/>
              </w:rPr>
              <w:t xml:space="preserve">der a los </w:t>
            </w:r>
            <w:r w:rsidRPr="00522B4E">
              <w:rPr>
                <w:rFonts w:ascii="Arial" w:hAnsi="Arial" w:cs="Arial"/>
                <w:sz w:val="20"/>
                <w:szCs w:val="20"/>
              </w:rPr>
              <w:t>usuarios que tengan alguna necesidad de información o denuncia por la prestación y forma en que se 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22B4E">
              <w:rPr>
                <w:rFonts w:ascii="Arial" w:hAnsi="Arial" w:cs="Arial"/>
                <w:sz w:val="20"/>
                <w:szCs w:val="20"/>
              </w:rPr>
              <w:t xml:space="preserve"> atiende en la ARESEP.</w:t>
            </w:r>
          </w:p>
          <w:p w:rsidR="00AA39DE" w:rsidRDefault="00AA39DE" w:rsidP="00530013">
            <w:pPr>
              <w:spacing w:line="240" w:lineRule="auto"/>
              <w:ind w:left="-54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39DE" w:rsidRDefault="00AA39DE" w:rsidP="00AA39DE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Atender al menos a 20 usuarios que requieran agilizar sus trámites</w:t>
            </w:r>
          </w:p>
          <w:p w:rsidR="00AA39DE" w:rsidRDefault="00AA39DE" w:rsidP="00AA39DE">
            <w:pPr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A39DE" w:rsidRDefault="00AA39DE" w:rsidP="00AA39DE">
            <w:pPr>
              <w:ind w:righ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usuarios</w:t>
            </w:r>
          </w:p>
          <w:p w:rsidR="00AA39DE" w:rsidRDefault="00AA39DE" w:rsidP="00AA39DE">
            <w:pPr>
              <w:spacing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9DE" w:rsidRDefault="00AA39DE" w:rsidP="00901A6C">
            <w:pPr>
              <w:tabs>
                <w:tab w:val="left" w:pos="2411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Atención personal, telefónica y electrónica de usuarios que presentan quejas.</w:t>
            </w:r>
          </w:p>
          <w:p w:rsidR="00AA39DE" w:rsidRDefault="00AA39DE" w:rsidP="00901A6C">
            <w:pPr>
              <w:tabs>
                <w:tab w:val="left" w:pos="2411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Brindar información solicitada o que sean guiados en los trámites internos.</w:t>
            </w:r>
          </w:p>
          <w:p w:rsidR="00AA39DE" w:rsidRDefault="00AA39DE" w:rsidP="00901A6C">
            <w:pPr>
              <w:tabs>
                <w:tab w:val="left" w:pos="2411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Solicitudes a las distintas instancias para la atención de los usuarios.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AA39DE" w:rsidRDefault="007B4564">
            <w:r>
              <w:t>Todo el año</w:t>
            </w:r>
          </w:p>
        </w:tc>
        <w:tc>
          <w:tcPr>
            <w:tcW w:w="1502" w:type="dxa"/>
            <w:shd w:val="clear" w:color="auto" w:fill="auto"/>
          </w:tcPr>
          <w:p w:rsidR="00AA39DE" w:rsidRDefault="00901A6C" w:rsidP="00901A6C">
            <w:pPr>
              <w:ind w:right="71"/>
            </w:pPr>
            <w:r>
              <w:t>Contralor</w:t>
            </w:r>
          </w:p>
        </w:tc>
      </w:tr>
      <w:tr w:rsidR="004E5EA4" w:rsidTr="00A660A3">
        <w:trPr>
          <w:trHeight w:val="2730"/>
        </w:trPr>
        <w:tc>
          <w:tcPr>
            <w:tcW w:w="2214" w:type="dxa"/>
          </w:tcPr>
          <w:p w:rsidR="004E5EA4" w:rsidRPr="00522B4E" w:rsidRDefault="004E5EA4" w:rsidP="00522B4E">
            <w:pPr>
              <w:pStyle w:val="Prrafodelista"/>
              <w:numPr>
                <w:ilvl w:val="0"/>
                <w:numId w:val="7"/>
              </w:numPr>
              <w:spacing w:line="240" w:lineRule="auto"/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Posicionar a la Contraloría de Servicios como una instancia para recibir quejas y reclamos sobre la administración interna</w:t>
            </w:r>
          </w:p>
        </w:tc>
        <w:tc>
          <w:tcPr>
            <w:tcW w:w="1418" w:type="dxa"/>
          </w:tcPr>
          <w:p w:rsidR="004E5EA4" w:rsidRDefault="004E5EA4" w:rsidP="00AA39DE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Enviar 5 notas sobre las acciones que realiza la Contraloría de Servicios</w:t>
            </w:r>
          </w:p>
        </w:tc>
        <w:tc>
          <w:tcPr>
            <w:tcW w:w="1275" w:type="dxa"/>
          </w:tcPr>
          <w:p w:rsidR="004E5EA4" w:rsidRDefault="004E5EA4" w:rsidP="00AA39DE">
            <w:pPr>
              <w:ind w:righ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avisos </w:t>
            </w:r>
          </w:p>
        </w:tc>
        <w:tc>
          <w:tcPr>
            <w:tcW w:w="2409" w:type="dxa"/>
          </w:tcPr>
          <w:p w:rsidR="004E5EA4" w:rsidRDefault="004E5EA4" w:rsidP="004E5EA4">
            <w:pPr>
              <w:tabs>
                <w:tab w:val="left" w:pos="2411"/>
              </w:tabs>
              <w:ind w:righ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Mensajes a los funcionarios, que se incluyan dentro del boletín interno, sobre las funciones de la Contraloría, para que interpongan sus quejas sobre diferentes aspectos administrativos.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4E5EA4" w:rsidRDefault="004E5EA4">
            <w:r>
              <w:t>Cada 2 meses</w:t>
            </w:r>
          </w:p>
        </w:tc>
        <w:tc>
          <w:tcPr>
            <w:tcW w:w="1502" w:type="dxa"/>
            <w:shd w:val="clear" w:color="auto" w:fill="auto"/>
          </w:tcPr>
          <w:p w:rsidR="004E5EA4" w:rsidRDefault="004E5EA4" w:rsidP="00901A6C">
            <w:pPr>
              <w:ind w:right="71"/>
            </w:pPr>
            <w:r>
              <w:t>Contralor</w:t>
            </w:r>
          </w:p>
        </w:tc>
      </w:tr>
      <w:tr w:rsidR="00AA39DE" w:rsidTr="00A660A3">
        <w:trPr>
          <w:trHeight w:val="1095"/>
        </w:trPr>
        <w:tc>
          <w:tcPr>
            <w:tcW w:w="2214" w:type="dxa"/>
          </w:tcPr>
          <w:p w:rsidR="00AA39DE" w:rsidRDefault="00AA39DE" w:rsidP="00A660A3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</w:t>
            </w:r>
            <w:r w:rsidR="00A660A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los servicios que brinda la Institució</w:t>
            </w:r>
            <w:r w:rsidR="00A660A3">
              <w:rPr>
                <w:rFonts w:ascii="Arial" w:hAnsi="Arial" w:cs="Arial"/>
                <w:sz w:val="20"/>
                <w:szCs w:val="20"/>
              </w:rPr>
              <w:t>n por medio de encuestas electrónicas.</w:t>
            </w:r>
          </w:p>
        </w:tc>
        <w:tc>
          <w:tcPr>
            <w:tcW w:w="1418" w:type="dxa"/>
          </w:tcPr>
          <w:p w:rsidR="00AA39DE" w:rsidRDefault="00AA39DE" w:rsidP="004E5EA4">
            <w:pPr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Elaborar y aplicar al menos </w:t>
            </w:r>
            <w:r w:rsidR="004E5EA4">
              <w:rPr>
                <w:rFonts w:ascii="Arial" w:hAnsi="Arial" w:cs="Arial"/>
                <w:sz w:val="20"/>
                <w:szCs w:val="20"/>
              </w:rPr>
              <w:t>una encuesta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que los usuarios valoren los servicios recibidos.</w:t>
            </w:r>
          </w:p>
        </w:tc>
        <w:tc>
          <w:tcPr>
            <w:tcW w:w="1275" w:type="dxa"/>
          </w:tcPr>
          <w:p w:rsidR="00AA39DE" w:rsidRDefault="004E5EA4" w:rsidP="004E5EA4">
            <w:pPr>
              <w:spacing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AA39DE">
              <w:rPr>
                <w:rFonts w:ascii="Arial" w:hAnsi="Arial" w:cs="Arial"/>
                <w:sz w:val="20"/>
                <w:szCs w:val="20"/>
              </w:rPr>
              <w:t>encuesta</w:t>
            </w:r>
          </w:p>
        </w:tc>
        <w:tc>
          <w:tcPr>
            <w:tcW w:w="2409" w:type="dxa"/>
          </w:tcPr>
          <w:p w:rsidR="00AA39DE" w:rsidRDefault="00AA39DE" w:rsidP="00901A6C">
            <w:pPr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Confección, diseño y aplicación de </w:t>
            </w:r>
            <w:r w:rsidR="004E5EA4">
              <w:rPr>
                <w:rFonts w:ascii="Arial" w:hAnsi="Arial" w:cs="Arial"/>
                <w:sz w:val="20"/>
                <w:szCs w:val="20"/>
              </w:rPr>
              <w:t>una encuesta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EA4">
              <w:rPr>
                <w:rFonts w:ascii="Arial" w:hAnsi="Arial" w:cs="Arial"/>
                <w:sz w:val="20"/>
                <w:szCs w:val="20"/>
              </w:rPr>
              <w:t>electrónica</w:t>
            </w:r>
            <w:r w:rsidR="007B45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 medir el nivel de satisfac</w:t>
            </w:r>
            <w:r w:rsidR="007B4564">
              <w:rPr>
                <w:rFonts w:ascii="Arial" w:hAnsi="Arial" w:cs="Arial"/>
                <w:sz w:val="20"/>
                <w:szCs w:val="20"/>
              </w:rPr>
              <w:t>ción de los usuarios.</w:t>
            </w:r>
          </w:p>
          <w:p w:rsidR="00AA39DE" w:rsidRDefault="00AA39DE" w:rsidP="00901A6C">
            <w:pPr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AA39DE" w:rsidRDefault="004E5EA4" w:rsidP="007B4564">
            <w:r>
              <w:t>Principio de año</w:t>
            </w:r>
          </w:p>
        </w:tc>
        <w:tc>
          <w:tcPr>
            <w:tcW w:w="1502" w:type="dxa"/>
            <w:shd w:val="clear" w:color="auto" w:fill="auto"/>
          </w:tcPr>
          <w:p w:rsidR="00AA39DE" w:rsidRDefault="00901A6C" w:rsidP="00901A6C">
            <w:pPr>
              <w:ind w:right="71"/>
            </w:pPr>
            <w:r>
              <w:t>Contralor</w:t>
            </w:r>
          </w:p>
        </w:tc>
      </w:tr>
      <w:tr w:rsidR="00AA39DE" w:rsidTr="00A660A3">
        <w:trPr>
          <w:trHeight w:val="1095"/>
        </w:trPr>
        <w:tc>
          <w:tcPr>
            <w:tcW w:w="2214" w:type="dxa"/>
          </w:tcPr>
          <w:p w:rsidR="00AA39DE" w:rsidRPr="00522B4E" w:rsidRDefault="004E5EA4" w:rsidP="007E505B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Promover mejores prácticas de atención a los usuarios</w:t>
            </w:r>
          </w:p>
        </w:tc>
        <w:tc>
          <w:tcPr>
            <w:tcW w:w="1418" w:type="dxa"/>
          </w:tcPr>
          <w:p w:rsidR="00AA39DE" w:rsidRDefault="004E5EA4" w:rsidP="00AA39DE">
            <w:pPr>
              <w:tabs>
                <w:tab w:val="left" w:pos="1927"/>
              </w:tabs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Enviar mensajes por correo electrónico de cómo atender a los usuarios</w:t>
            </w:r>
          </w:p>
        </w:tc>
        <w:tc>
          <w:tcPr>
            <w:tcW w:w="1275" w:type="dxa"/>
          </w:tcPr>
          <w:p w:rsidR="00AA39DE" w:rsidRDefault="00AA39DE" w:rsidP="004E5EA4">
            <w:pPr>
              <w:spacing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4E5EA4">
              <w:rPr>
                <w:rFonts w:ascii="Arial" w:hAnsi="Arial" w:cs="Arial"/>
                <w:sz w:val="20"/>
                <w:szCs w:val="20"/>
              </w:rPr>
              <w:t>mensajes</w:t>
            </w:r>
          </w:p>
        </w:tc>
        <w:tc>
          <w:tcPr>
            <w:tcW w:w="2409" w:type="dxa"/>
          </w:tcPr>
          <w:p w:rsidR="00AA39DE" w:rsidRDefault="004E5EA4" w:rsidP="004E5EA4">
            <w:pPr>
              <w:tabs>
                <w:tab w:val="left" w:pos="2428"/>
              </w:tabs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Mensajes con consejos prácticos de cómo atender</w:t>
            </w:r>
            <w:r w:rsidR="00AA39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A39DE">
              <w:rPr>
                <w:rFonts w:ascii="Arial" w:hAnsi="Arial" w:cs="Arial"/>
                <w:sz w:val="20"/>
                <w:szCs w:val="20"/>
              </w:rPr>
              <w:t xml:space="preserve"> los usuarios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AA39DE" w:rsidRDefault="007B4564">
            <w:r>
              <w:t>Todo el año</w:t>
            </w:r>
          </w:p>
        </w:tc>
        <w:tc>
          <w:tcPr>
            <w:tcW w:w="1502" w:type="dxa"/>
            <w:shd w:val="clear" w:color="auto" w:fill="auto"/>
          </w:tcPr>
          <w:p w:rsidR="00AA39DE" w:rsidRDefault="00901A6C" w:rsidP="00901A6C">
            <w:pPr>
              <w:ind w:right="71"/>
            </w:pPr>
            <w:r>
              <w:t>Contralor</w:t>
            </w:r>
          </w:p>
        </w:tc>
      </w:tr>
      <w:tr w:rsidR="00AA39DE" w:rsidTr="00A660A3">
        <w:trPr>
          <w:trHeight w:val="1095"/>
        </w:trPr>
        <w:tc>
          <w:tcPr>
            <w:tcW w:w="2214" w:type="dxa"/>
          </w:tcPr>
          <w:p w:rsidR="00AA39DE" w:rsidRDefault="00AA39DE" w:rsidP="00A660A3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</w:t>
            </w:r>
            <w:r w:rsidR="00A660A3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 xml:space="preserve"> al Regulador General en procesos de cambio</w:t>
            </w:r>
            <w:r w:rsidR="004E5EA4">
              <w:rPr>
                <w:rFonts w:ascii="Arial" w:hAnsi="Arial" w:cs="Arial"/>
                <w:sz w:val="20"/>
                <w:szCs w:val="20"/>
              </w:rPr>
              <w:t xml:space="preserve"> organizacional</w:t>
            </w:r>
          </w:p>
        </w:tc>
        <w:tc>
          <w:tcPr>
            <w:tcW w:w="1418" w:type="dxa"/>
          </w:tcPr>
          <w:p w:rsidR="00AA39DE" w:rsidRDefault="00AA39DE" w:rsidP="004E5EA4">
            <w:pPr>
              <w:tabs>
                <w:tab w:val="left" w:pos="1927"/>
              </w:tabs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Informar a los funcionarios acerca de los cambios en la organización </w:t>
            </w:r>
          </w:p>
        </w:tc>
        <w:tc>
          <w:tcPr>
            <w:tcW w:w="1275" w:type="dxa"/>
          </w:tcPr>
          <w:p w:rsidR="00AA39DE" w:rsidRDefault="004E5EA4" w:rsidP="004E5EA4">
            <w:pPr>
              <w:spacing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mensaje</w:t>
            </w:r>
            <w:r w:rsidR="00AA39D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409" w:type="dxa"/>
          </w:tcPr>
          <w:p w:rsidR="00AA39DE" w:rsidRDefault="004E5EA4" w:rsidP="004E5EA4">
            <w:pPr>
              <w:tabs>
                <w:tab w:val="left" w:pos="2428"/>
              </w:tabs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Mensajes dentro de la revista mensual sobre los procesos de cambio organizacional.</w:t>
            </w:r>
          </w:p>
        </w:tc>
        <w:tc>
          <w:tcPr>
            <w:tcW w:w="1005" w:type="dxa"/>
            <w:shd w:val="clear" w:color="auto" w:fill="auto"/>
          </w:tcPr>
          <w:p w:rsidR="00AA39DE" w:rsidRDefault="007B4564">
            <w:r>
              <w:t>Todo el año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AA39DE" w:rsidRDefault="00901A6C" w:rsidP="00901A6C">
            <w:pPr>
              <w:ind w:right="71"/>
            </w:pPr>
            <w:r>
              <w:t>Contralor</w:t>
            </w:r>
          </w:p>
        </w:tc>
      </w:tr>
      <w:tr w:rsidR="00AA39DE" w:rsidTr="00A660A3">
        <w:trPr>
          <w:trHeight w:val="1091"/>
        </w:trPr>
        <w:tc>
          <w:tcPr>
            <w:tcW w:w="2214" w:type="dxa"/>
          </w:tcPr>
          <w:p w:rsidR="00AA39DE" w:rsidRPr="00522B4E" w:rsidRDefault="00AA39DE" w:rsidP="00A660A3">
            <w:pPr>
              <w:pStyle w:val="Prrafodelista"/>
              <w:numPr>
                <w:ilvl w:val="0"/>
                <w:numId w:val="7"/>
              </w:numPr>
              <w:spacing w:line="240" w:lineRule="auto"/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B4E">
              <w:rPr>
                <w:rFonts w:ascii="Arial" w:hAnsi="Arial" w:cs="Arial"/>
                <w:sz w:val="20"/>
                <w:szCs w:val="20"/>
              </w:rPr>
              <w:lastRenderedPageBreak/>
              <w:t>Elabora</w:t>
            </w:r>
            <w:r w:rsidR="00A660A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B4E">
              <w:rPr>
                <w:rFonts w:ascii="Arial" w:hAnsi="Arial" w:cs="Arial"/>
                <w:sz w:val="20"/>
                <w:szCs w:val="20"/>
              </w:rPr>
              <w:t>informe anual de trabajo de la Contraloría de Servicios.</w:t>
            </w:r>
          </w:p>
        </w:tc>
        <w:tc>
          <w:tcPr>
            <w:tcW w:w="1418" w:type="dxa"/>
          </w:tcPr>
          <w:p w:rsidR="00AA39DE" w:rsidRDefault="00AA39DE" w:rsidP="00AA39DE">
            <w:pPr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informe final de labores.</w:t>
            </w:r>
          </w:p>
        </w:tc>
        <w:tc>
          <w:tcPr>
            <w:tcW w:w="1275" w:type="dxa"/>
          </w:tcPr>
          <w:p w:rsidR="00AA39DE" w:rsidRDefault="00AA39DE" w:rsidP="00AA39DE">
            <w:pPr>
              <w:spacing w:line="240" w:lineRule="auto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informe</w:t>
            </w:r>
          </w:p>
        </w:tc>
        <w:tc>
          <w:tcPr>
            <w:tcW w:w="2409" w:type="dxa"/>
          </w:tcPr>
          <w:p w:rsidR="00AA39DE" w:rsidRDefault="00AA39DE" w:rsidP="00901A6C">
            <w:pPr>
              <w:spacing w:line="240" w:lineRule="auto"/>
              <w:ind w:righ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informe final de trabajo.</w:t>
            </w:r>
          </w:p>
        </w:tc>
        <w:tc>
          <w:tcPr>
            <w:tcW w:w="1005" w:type="dxa"/>
            <w:shd w:val="clear" w:color="auto" w:fill="auto"/>
          </w:tcPr>
          <w:p w:rsidR="00AA39DE" w:rsidRDefault="007B4564">
            <w:r>
              <w:t>Una vez al año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AA39DE" w:rsidRDefault="00901A6C" w:rsidP="00901A6C">
            <w:pPr>
              <w:ind w:right="71"/>
            </w:pPr>
            <w:r>
              <w:t>Contralor</w:t>
            </w:r>
          </w:p>
        </w:tc>
      </w:tr>
    </w:tbl>
    <w:p w:rsidR="00D14F35" w:rsidRDefault="00D14F35" w:rsidP="00530013">
      <w:pPr>
        <w:spacing w:line="240" w:lineRule="auto"/>
        <w:ind w:right="709"/>
        <w:jc w:val="both"/>
        <w:rPr>
          <w:rFonts w:ascii="Arial" w:hAnsi="Arial" w:cs="Arial"/>
          <w:sz w:val="20"/>
          <w:szCs w:val="20"/>
        </w:rPr>
      </w:pPr>
    </w:p>
    <w:p w:rsidR="00A660A3" w:rsidRDefault="00A660A3" w:rsidP="00530013">
      <w:pPr>
        <w:spacing w:line="240" w:lineRule="auto"/>
        <w:ind w:right="709"/>
        <w:jc w:val="both"/>
        <w:rPr>
          <w:rFonts w:ascii="Arial" w:hAnsi="Arial" w:cs="Arial"/>
          <w:sz w:val="20"/>
          <w:szCs w:val="20"/>
        </w:rPr>
      </w:pPr>
    </w:p>
    <w:p w:rsidR="00D14F35" w:rsidRPr="00D42BD1" w:rsidRDefault="00A660A3" w:rsidP="00530013">
      <w:pPr>
        <w:spacing w:line="240" w:lineRule="auto"/>
        <w:ind w:righ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Cronograma año 201</w:t>
      </w:r>
      <w:r w:rsidR="004E5EA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:</w:t>
      </w:r>
    </w:p>
    <w:p w:rsidR="007846A5" w:rsidRDefault="007846A5" w:rsidP="00530013">
      <w:pPr>
        <w:spacing w:line="240" w:lineRule="auto"/>
        <w:ind w:right="709"/>
        <w:jc w:val="both"/>
        <w:rPr>
          <w:rFonts w:ascii="Arial" w:hAnsi="Arial" w:cs="Arial"/>
          <w:sz w:val="20"/>
          <w:szCs w:val="20"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8"/>
        <w:gridCol w:w="687"/>
        <w:gridCol w:w="615"/>
        <w:gridCol w:w="567"/>
        <w:gridCol w:w="661"/>
        <w:gridCol w:w="567"/>
        <w:gridCol w:w="567"/>
        <w:gridCol w:w="567"/>
        <w:gridCol w:w="567"/>
        <w:gridCol w:w="569"/>
        <w:gridCol w:w="568"/>
        <w:gridCol w:w="564"/>
        <w:gridCol w:w="567"/>
      </w:tblGrid>
      <w:tr w:rsidR="00522B4E" w:rsidRPr="007846A5" w:rsidTr="007B4564">
        <w:trPr>
          <w:trHeight w:val="699"/>
        </w:trPr>
        <w:tc>
          <w:tcPr>
            <w:tcW w:w="1368" w:type="dxa"/>
            <w:shd w:val="clear" w:color="auto" w:fill="548DD4" w:themeFill="text2" w:themeFillTint="99"/>
          </w:tcPr>
          <w:p w:rsidR="00522B4E" w:rsidRPr="00D42BD1" w:rsidRDefault="007B4564" w:rsidP="007846A5">
            <w:pPr>
              <w:spacing w:line="240" w:lineRule="auto"/>
              <w:ind w:right="10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Objetivo anual Operativo</w:t>
            </w:r>
          </w:p>
        </w:tc>
        <w:tc>
          <w:tcPr>
            <w:tcW w:w="687" w:type="dxa"/>
            <w:shd w:val="clear" w:color="auto" w:fill="548DD4" w:themeFill="text2" w:themeFillTint="99"/>
          </w:tcPr>
          <w:p w:rsidR="00522B4E" w:rsidRPr="00D42BD1" w:rsidRDefault="00522B4E" w:rsidP="007846A5">
            <w:pPr>
              <w:spacing w:line="240" w:lineRule="auto"/>
              <w:ind w:left="-99" w:right="7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</w:p>
        </w:tc>
        <w:tc>
          <w:tcPr>
            <w:tcW w:w="615" w:type="dxa"/>
            <w:shd w:val="clear" w:color="auto" w:fill="548DD4" w:themeFill="text2" w:themeFillTint="99"/>
          </w:tcPr>
          <w:p w:rsidR="00522B4E" w:rsidRPr="00D42BD1" w:rsidRDefault="00522B4E" w:rsidP="007846A5">
            <w:pPr>
              <w:tabs>
                <w:tab w:val="left" w:pos="1631"/>
              </w:tabs>
              <w:spacing w:line="240" w:lineRule="auto"/>
              <w:ind w:left="-99" w:right="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Feb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522B4E" w:rsidRPr="00D42BD1" w:rsidRDefault="00522B4E" w:rsidP="007846A5">
            <w:pPr>
              <w:spacing w:line="240" w:lineRule="auto"/>
              <w:ind w:left="-99" w:right="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Mar</w:t>
            </w:r>
          </w:p>
        </w:tc>
        <w:tc>
          <w:tcPr>
            <w:tcW w:w="661" w:type="dxa"/>
            <w:shd w:val="clear" w:color="auto" w:fill="548DD4" w:themeFill="text2" w:themeFillTint="99"/>
          </w:tcPr>
          <w:p w:rsidR="00522B4E" w:rsidRPr="00D42BD1" w:rsidRDefault="00522B4E" w:rsidP="007846A5">
            <w:pPr>
              <w:spacing w:line="240" w:lineRule="auto"/>
              <w:ind w:left="-99" w:right="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Abril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522B4E" w:rsidRPr="00D42BD1" w:rsidRDefault="00522B4E" w:rsidP="007846A5">
            <w:pPr>
              <w:tabs>
                <w:tab w:val="left" w:pos="569"/>
                <w:tab w:val="left" w:pos="639"/>
              </w:tabs>
              <w:spacing w:line="240" w:lineRule="auto"/>
              <w:ind w:left="-99" w:right="-15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Mayo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522B4E" w:rsidRPr="00D42BD1" w:rsidRDefault="00522B4E" w:rsidP="007846A5">
            <w:pPr>
              <w:spacing w:line="240" w:lineRule="auto"/>
              <w:ind w:left="-99" w:right="7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Jun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522B4E" w:rsidRPr="00D42BD1" w:rsidRDefault="00522B4E" w:rsidP="007846A5">
            <w:pPr>
              <w:tabs>
                <w:tab w:val="left" w:pos="576"/>
              </w:tabs>
              <w:spacing w:line="240" w:lineRule="auto"/>
              <w:ind w:left="-99" w:right="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Jul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522B4E" w:rsidRPr="00D42BD1" w:rsidRDefault="00522B4E" w:rsidP="00D42BD1">
            <w:pPr>
              <w:spacing w:line="240" w:lineRule="auto"/>
              <w:ind w:left="-99" w:right="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69" w:type="dxa"/>
            <w:shd w:val="clear" w:color="auto" w:fill="548DD4" w:themeFill="text2" w:themeFillTint="99"/>
          </w:tcPr>
          <w:p w:rsidR="00522B4E" w:rsidRPr="00D42BD1" w:rsidRDefault="00522B4E" w:rsidP="00D42BD1">
            <w:pPr>
              <w:spacing w:line="240" w:lineRule="auto"/>
              <w:ind w:left="-99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Set</w:t>
            </w:r>
          </w:p>
        </w:tc>
        <w:tc>
          <w:tcPr>
            <w:tcW w:w="568" w:type="dxa"/>
            <w:shd w:val="clear" w:color="auto" w:fill="548DD4" w:themeFill="text2" w:themeFillTint="99"/>
          </w:tcPr>
          <w:p w:rsidR="00522B4E" w:rsidRPr="00D42BD1" w:rsidRDefault="00522B4E" w:rsidP="00D42BD1">
            <w:pPr>
              <w:spacing w:line="240" w:lineRule="auto"/>
              <w:ind w:left="-99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Oct</w:t>
            </w:r>
          </w:p>
        </w:tc>
        <w:tc>
          <w:tcPr>
            <w:tcW w:w="564" w:type="dxa"/>
            <w:shd w:val="clear" w:color="auto" w:fill="548DD4" w:themeFill="text2" w:themeFillTint="99"/>
          </w:tcPr>
          <w:p w:rsidR="00522B4E" w:rsidRPr="00D42BD1" w:rsidRDefault="00522B4E" w:rsidP="00D42BD1">
            <w:pPr>
              <w:tabs>
                <w:tab w:val="left" w:pos="777"/>
              </w:tabs>
              <w:spacing w:line="240" w:lineRule="auto"/>
              <w:ind w:left="-99" w:right="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2B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Nov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522B4E" w:rsidRPr="007846A5" w:rsidRDefault="00522B4E" w:rsidP="007846A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Dic</w:t>
            </w:r>
          </w:p>
        </w:tc>
      </w:tr>
      <w:tr w:rsidR="00522B4E" w:rsidTr="007B4564">
        <w:trPr>
          <w:trHeight w:val="555"/>
        </w:trPr>
        <w:tc>
          <w:tcPr>
            <w:tcW w:w="1368" w:type="dxa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7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AEEF3" w:themeFill="accent5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522B4E" w:rsidRDefault="00522B4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4E" w:rsidTr="004E5EA4">
        <w:trPr>
          <w:trHeight w:val="525"/>
        </w:trPr>
        <w:tc>
          <w:tcPr>
            <w:tcW w:w="1368" w:type="dxa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BD4B4" w:themeFill="accent6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BD4B4" w:themeFill="accent6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BD4B4" w:themeFill="accent6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BD4B4" w:themeFill="accent6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2B4E" w:rsidRDefault="00522B4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4E" w:rsidTr="004E5EA4">
        <w:trPr>
          <w:trHeight w:val="480"/>
        </w:trPr>
        <w:tc>
          <w:tcPr>
            <w:tcW w:w="1368" w:type="dxa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F2DBDB" w:themeFill="accent2" w:themeFillTint="33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2B4E" w:rsidRDefault="00522B4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4E" w:rsidTr="004E5EA4">
        <w:trPr>
          <w:trHeight w:val="450"/>
        </w:trPr>
        <w:tc>
          <w:tcPr>
            <w:tcW w:w="1368" w:type="dxa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CCC0D9" w:themeFill="accent4" w:themeFillTint="66"/>
          </w:tcPr>
          <w:p w:rsidR="00522B4E" w:rsidRPr="00D42BD1" w:rsidRDefault="00522B4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22B4E" w:rsidRDefault="00522B4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9DE" w:rsidTr="004E5EA4">
        <w:trPr>
          <w:trHeight w:val="450"/>
        </w:trPr>
        <w:tc>
          <w:tcPr>
            <w:tcW w:w="1368" w:type="dxa"/>
          </w:tcPr>
          <w:p w:rsidR="00AA39DE" w:rsidRDefault="007B456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7" w:type="dxa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8DB3E2" w:themeFill="text2" w:themeFillTint="66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8DB3E2" w:themeFill="text2" w:themeFillTint="66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AA39DE" w:rsidRPr="00D42BD1" w:rsidRDefault="00AA39DE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A39DE" w:rsidRDefault="00AA39DE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EA4" w:rsidTr="007B4564">
        <w:trPr>
          <w:trHeight w:val="450"/>
        </w:trPr>
        <w:tc>
          <w:tcPr>
            <w:tcW w:w="1368" w:type="dxa"/>
          </w:tcPr>
          <w:p w:rsidR="004E5EA4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7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4E5EA4" w:rsidRPr="00D42BD1" w:rsidRDefault="004E5EA4" w:rsidP="007846A5">
            <w:pPr>
              <w:spacing w:line="240" w:lineRule="auto"/>
              <w:ind w:left="426"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4E5EA4" w:rsidRDefault="004E5EA4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0E9" w:rsidRPr="00D14F35" w:rsidRDefault="00DF30E9" w:rsidP="00530013">
      <w:pPr>
        <w:spacing w:line="240" w:lineRule="auto"/>
        <w:ind w:left="426" w:right="709"/>
        <w:jc w:val="both"/>
        <w:rPr>
          <w:rFonts w:ascii="Arial" w:hAnsi="Arial" w:cs="Arial"/>
          <w:sz w:val="20"/>
          <w:szCs w:val="20"/>
        </w:rPr>
      </w:pPr>
    </w:p>
    <w:sectPr w:rsidR="00DF30E9" w:rsidRPr="00D14F35" w:rsidSect="00D21A0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D7D"/>
    <w:multiLevelType w:val="hybridMultilevel"/>
    <w:tmpl w:val="5AFA91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4DC3"/>
    <w:multiLevelType w:val="hybridMultilevel"/>
    <w:tmpl w:val="EF6481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4311B"/>
    <w:multiLevelType w:val="hybridMultilevel"/>
    <w:tmpl w:val="2146D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F7C08"/>
    <w:multiLevelType w:val="hybridMultilevel"/>
    <w:tmpl w:val="FC444A12"/>
    <w:lvl w:ilvl="0" w:tplc="3156357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26" w:hanging="360"/>
      </w:pPr>
    </w:lvl>
    <w:lvl w:ilvl="2" w:tplc="0C0A001B" w:tentative="1">
      <w:start w:val="1"/>
      <w:numFmt w:val="lowerRoman"/>
      <w:lvlText w:val="%3."/>
      <w:lvlJc w:val="right"/>
      <w:pPr>
        <w:ind w:left="1746" w:hanging="180"/>
      </w:pPr>
    </w:lvl>
    <w:lvl w:ilvl="3" w:tplc="0C0A000F" w:tentative="1">
      <w:start w:val="1"/>
      <w:numFmt w:val="decimal"/>
      <w:lvlText w:val="%4."/>
      <w:lvlJc w:val="left"/>
      <w:pPr>
        <w:ind w:left="2466" w:hanging="360"/>
      </w:pPr>
    </w:lvl>
    <w:lvl w:ilvl="4" w:tplc="0C0A0019" w:tentative="1">
      <w:start w:val="1"/>
      <w:numFmt w:val="lowerLetter"/>
      <w:lvlText w:val="%5."/>
      <w:lvlJc w:val="left"/>
      <w:pPr>
        <w:ind w:left="3186" w:hanging="360"/>
      </w:pPr>
    </w:lvl>
    <w:lvl w:ilvl="5" w:tplc="0C0A001B" w:tentative="1">
      <w:start w:val="1"/>
      <w:numFmt w:val="lowerRoman"/>
      <w:lvlText w:val="%6."/>
      <w:lvlJc w:val="right"/>
      <w:pPr>
        <w:ind w:left="3906" w:hanging="180"/>
      </w:pPr>
    </w:lvl>
    <w:lvl w:ilvl="6" w:tplc="0C0A000F" w:tentative="1">
      <w:start w:val="1"/>
      <w:numFmt w:val="decimal"/>
      <w:lvlText w:val="%7."/>
      <w:lvlJc w:val="left"/>
      <w:pPr>
        <w:ind w:left="4626" w:hanging="360"/>
      </w:pPr>
    </w:lvl>
    <w:lvl w:ilvl="7" w:tplc="0C0A0019" w:tentative="1">
      <w:start w:val="1"/>
      <w:numFmt w:val="lowerLetter"/>
      <w:lvlText w:val="%8."/>
      <w:lvlJc w:val="left"/>
      <w:pPr>
        <w:ind w:left="5346" w:hanging="360"/>
      </w:pPr>
    </w:lvl>
    <w:lvl w:ilvl="8" w:tplc="0C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>
    <w:nsid w:val="4F6D41A4"/>
    <w:multiLevelType w:val="hybridMultilevel"/>
    <w:tmpl w:val="2146D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06DC4"/>
    <w:multiLevelType w:val="hybridMultilevel"/>
    <w:tmpl w:val="2146D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152DF"/>
    <w:multiLevelType w:val="hybridMultilevel"/>
    <w:tmpl w:val="2146D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9"/>
    <w:rsid w:val="00005A06"/>
    <w:rsid w:val="000571C3"/>
    <w:rsid w:val="000802D1"/>
    <w:rsid w:val="00097827"/>
    <w:rsid w:val="0014695F"/>
    <w:rsid w:val="00154625"/>
    <w:rsid w:val="00156C52"/>
    <w:rsid w:val="001C0B87"/>
    <w:rsid w:val="002E30D8"/>
    <w:rsid w:val="00310290"/>
    <w:rsid w:val="004236DD"/>
    <w:rsid w:val="004D681C"/>
    <w:rsid w:val="004E5EA4"/>
    <w:rsid w:val="00522B4E"/>
    <w:rsid w:val="00530013"/>
    <w:rsid w:val="0067229B"/>
    <w:rsid w:val="006A5B86"/>
    <w:rsid w:val="006B6D15"/>
    <w:rsid w:val="00743908"/>
    <w:rsid w:val="00776643"/>
    <w:rsid w:val="007846A5"/>
    <w:rsid w:val="00790D57"/>
    <w:rsid w:val="007B4564"/>
    <w:rsid w:val="007E505B"/>
    <w:rsid w:val="00817ADC"/>
    <w:rsid w:val="008E23AB"/>
    <w:rsid w:val="00901A6C"/>
    <w:rsid w:val="00910951"/>
    <w:rsid w:val="00A40827"/>
    <w:rsid w:val="00A660A3"/>
    <w:rsid w:val="00AA39DE"/>
    <w:rsid w:val="00AB6FC9"/>
    <w:rsid w:val="00B70859"/>
    <w:rsid w:val="00B844C5"/>
    <w:rsid w:val="00BF5FF4"/>
    <w:rsid w:val="00C402C1"/>
    <w:rsid w:val="00C703D4"/>
    <w:rsid w:val="00C71349"/>
    <w:rsid w:val="00C91B24"/>
    <w:rsid w:val="00CA1709"/>
    <w:rsid w:val="00D14F35"/>
    <w:rsid w:val="00D21A0E"/>
    <w:rsid w:val="00D27B68"/>
    <w:rsid w:val="00D42BD1"/>
    <w:rsid w:val="00D624B6"/>
    <w:rsid w:val="00DD31A5"/>
    <w:rsid w:val="00DE1591"/>
    <w:rsid w:val="00DE386F"/>
    <w:rsid w:val="00DF30E9"/>
    <w:rsid w:val="00E47641"/>
    <w:rsid w:val="00EE5193"/>
    <w:rsid w:val="00F04DFA"/>
    <w:rsid w:val="00F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0813-AB40-455E-B0B6-32F7F65A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B6"/>
  </w:style>
  <w:style w:type="paragraph" w:styleId="Ttulo1">
    <w:name w:val="heading 1"/>
    <w:basedOn w:val="Normal"/>
    <w:next w:val="Normal"/>
    <w:link w:val="Ttulo1Car"/>
    <w:qFormat/>
    <w:rsid w:val="005300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F3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30013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NormalWeb">
    <w:name w:val="Normal (Web)"/>
    <w:basedOn w:val="Normal"/>
    <w:uiPriority w:val="99"/>
    <w:unhideWhenUsed/>
    <w:rsid w:val="0053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01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D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90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47641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1785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cmora</dc:creator>
  <cp:keywords/>
  <dc:description/>
  <cp:lastModifiedBy>coroco2</cp:lastModifiedBy>
  <cp:revision>4</cp:revision>
  <cp:lastPrinted>2012-01-13T21:07:00Z</cp:lastPrinted>
  <dcterms:created xsi:type="dcterms:W3CDTF">2015-02-12T03:32:00Z</dcterms:created>
  <dcterms:modified xsi:type="dcterms:W3CDTF">2015-02-12T03:50:00Z</dcterms:modified>
</cp:coreProperties>
</file>