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39" w:rsidRPr="00E74639" w:rsidRDefault="00CE2200" w:rsidP="00E74639">
      <w:pPr>
        <w:jc w:val="center"/>
        <w:rPr>
          <w:b/>
        </w:rPr>
      </w:pPr>
      <w:r w:rsidRPr="00964D07">
        <w:rPr>
          <w:rFonts w:asciiTheme="minorHAnsi" w:hAnsiTheme="minorHAnsi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05429" wp14:editId="0E799505">
                <wp:simplePos x="0" y="0"/>
                <wp:positionH relativeFrom="margin">
                  <wp:align>right</wp:align>
                </wp:positionH>
                <wp:positionV relativeFrom="page">
                  <wp:posOffset>1485900</wp:posOffset>
                </wp:positionV>
                <wp:extent cx="1257300" cy="1543050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DF6" w:rsidRPr="00AC574B" w:rsidRDefault="00B56DF6" w:rsidP="00CE43C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lang w:val="es-ES"/>
                              </w:rPr>
                            </w:pPr>
                            <w:r w:rsidRPr="00AC574B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lang w:val="es-ES"/>
                              </w:rPr>
                              <w:t>T</w:t>
                            </w:r>
                            <w:r w:rsidRPr="00AC574B">
                              <w:rPr>
                                <w:rFonts w:asciiTheme="minorHAnsi" w:hAnsiTheme="minorHAnsi" w:cstheme="minorHAnsi"/>
                                <w:sz w:val="16"/>
                                <w:lang w:val="es-ES"/>
                              </w:rPr>
                              <w:t xml:space="preserve"> +506 2506.3200</w:t>
                            </w:r>
                          </w:p>
                          <w:p w:rsidR="00B56DF6" w:rsidRPr="00AC574B" w:rsidRDefault="00B56DF6" w:rsidP="00CE43C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lang w:val="es-ES"/>
                              </w:rPr>
                            </w:pPr>
                            <w:r w:rsidRPr="00AC574B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lang w:val="es-ES"/>
                              </w:rPr>
                              <w:t>F</w:t>
                            </w:r>
                            <w:r w:rsidRPr="00AC574B">
                              <w:rPr>
                                <w:rFonts w:asciiTheme="minorHAnsi" w:hAnsiTheme="minorHAnsi" w:cstheme="minorHAnsi"/>
                                <w:sz w:val="16"/>
                                <w:lang w:val="es-ES"/>
                              </w:rPr>
                              <w:t xml:space="preserve"> +506 2215.4097</w:t>
                            </w:r>
                          </w:p>
                          <w:p w:rsidR="00B56DF6" w:rsidRPr="00AC574B" w:rsidRDefault="00B56DF6" w:rsidP="00CE43C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lang w:val="es-ES"/>
                              </w:rPr>
                            </w:pPr>
                          </w:p>
                          <w:p w:rsidR="00B56DF6" w:rsidRPr="00AC574B" w:rsidRDefault="00B56DF6" w:rsidP="00CE43C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lang w:val="es-ES"/>
                              </w:rPr>
                            </w:pPr>
                            <w:r w:rsidRPr="00AC574B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lang w:val="es-ES"/>
                              </w:rPr>
                              <w:t>Correo electrónico</w:t>
                            </w:r>
                          </w:p>
                          <w:p w:rsidR="00B56DF6" w:rsidRPr="00AC574B" w:rsidRDefault="00AE022D" w:rsidP="00CE43C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lang w:val="es-ES"/>
                              </w:rPr>
                            </w:pPr>
                            <w:hyperlink r:id="rId8" w:history="1">
                              <w:r w:rsidR="00B56DF6" w:rsidRPr="00AC574B">
                                <w:rPr>
                                  <w:rStyle w:val="Hipervnculo"/>
                                  <w:rFonts w:asciiTheme="minorHAnsi" w:hAnsiTheme="minorHAnsi" w:cstheme="minorHAnsi"/>
                                  <w:sz w:val="16"/>
                                  <w:lang w:val="es-ES"/>
                                </w:rPr>
                                <w:t>ienergia@aresep.go.cr</w:t>
                              </w:r>
                            </w:hyperlink>
                          </w:p>
                          <w:p w:rsidR="00B56DF6" w:rsidRPr="00AC574B" w:rsidRDefault="00B56DF6" w:rsidP="00CE43C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lang w:val="es-ES"/>
                              </w:rPr>
                            </w:pPr>
                          </w:p>
                          <w:p w:rsidR="00B56DF6" w:rsidRPr="00AC574B" w:rsidRDefault="00B56DF6" w:rsidP="00CE43C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lang w:val="es-ES"/>
                              </w:rPr>
                            </w:pPr>
                            <w:r w:rsidRPr="00AC574B">
                              <w:rPr>
                                <w:rFonts w:asciiTheme="minorHAnsi" w:hAnsiTheme="minorHAnsi" w:cstheme="minorHAnsi"/>
                                <w:sz w:val="16"/>
                                <w:lang w:val="es-ES"/>
                              </w:rPr>
                              <w:t>Apartado</w:t>
                            </w:r>
                          </w:p>
                          <w:p w:rsidR="00B56DF6" w:rsidRPr="00AC574B" w:rsidRDefault="00B56DF6" w:rsidP="00CE43C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lang w:val="es-ES"/>
                              </w:rPr>
                            </w:pPr>
                            <w:r w:rsidRPr="00AC574B">
                              <w:rPr>
                                <w:rFonts w:asciiTheme="minorHAnsi" w:hAnsiTheme="minorHAnsi" w:cstheme="minorHAnsi"/>
                                <w:sz w:val="16"/>
                                <w:lang w:val="es-ES"/>
                              </w:rPr>
                              <w:t>936-1000</w:t>
                            </w:r>
                          </w:p>
                          <w:p w:rsidR="00B56DF6" w:rsidRPr="00AC574B" w:rsidRDefault="00B56DF6" w:rsidP="00CE43C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lang w:val="es-ES"/>
                              </w:rPr>
                            </w:pPr>
                            <w:r w:rsidRPr="00AC574B">
                              <w:rPr>
                                <w:rFonts w:asciiTheme="minorHAnsi" w:hAnsiTheme="minorHAnsi" w:cstheme="minorHAnsi"/>
                                <w:sz w:val="16"/>
                                <w:lang w:val="es-ES"/>
                              </w:rPr>
                              <w:t>San José – Costa Rica</w:t>
                            </w:r>
                          </w:p>
                          <w:p w:rsidR="00B56DF6" w:rsidRPr="00AC574B" w:rsidRDefault="00B56DF6" w:rsidP="00CE43C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lang w:val="es-ES"/>
                              </w:rPr>
                            </w:pPr>
                          </w:p>
                          <w:p w:rsidR="00B56DF6" w:rsidRPr="00AC574B" w:rsidRDefault="00B56DF6" w:rsidP="00CE43C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  <w:r w:rsidRPr="00AC574B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www.aresep.go.cr</w:t>
                            </w:r>
                          </w:p>
                          <w:p w:rsidR="00B56DF6" w:rsidRPr="00AC574B" w:rsidRDefault="00B56DF6" w:rsidP="00CE43C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0542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7.8pt;margin-top:117pt;width:99pt;height:121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" stroked="f">
                <v:textbox>
                  <w:txbxContent>
                    <w:p w:rsidR="00B56DF6" w:rsidRPr="00AC574B" w:rsidRDefault="00B56DF6" w:rsidP="00CE43C7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lang w:val="es-ES"/>
                        </w:rPr>
                      </w:pPr>
                      <w:r w:rsidRPr="00AC574B">
                        <w:rPr>
                          <w:rFonts w:asciiTheme="minorHAnsi" w:hAnsiTheme="minorHAnsi" w:cstheme="minorHAnsi"/>
                          <w:b/>
                          <w:sz w:val="16"/>
                          <w:lang w:val="es-ES"/>
                        </w:rPr>
                        <w:t>T</w:t>
                      </w:r>
                      <w:r w:rsidRPr="00AC574B">
                        <w:rPr>
                          <w:rFonts w:asciiTheme="minorHAnsi" w:hAnsiTheme="minorHAnsi" w:cstheme="minorHAnsi"/>
                          <w:sz w:val="16"/>
                          <w:lang w:val="es-ES"/>
                        </w:rPr>
                        <w:t xml:space="preserve"> +506 2506.3200</w:t>
                      </w:r>
                    </w:p>
                    <w:p w:rsidR="00B56DF6" w:rsidRPr="00AC574B" w:rsidRDefault="00B56DF6" w:rsidP="00CE43C7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lang w:val="es-ES"/>
                        </w:rPr>
                      </w:pPr>
                      <w:r w:rsidRPr="00AC574B">
                        <w:rPr>
                          <w:rFonts w:asciiTheme="minorHAnsi" w:hAnsiTheme="minorHAnsi" w:cstheme="minorHAnsi"/>
                          <w:b/>
                          <w:sz w:val="16"/>
                          <w:lang w:val="es-ES"/>
                        </w:rPr>
                        <w:t>F</w:t>
                      </w:r>
                      <w:r w:rsidRPr="00AC574B">
                        <w:rPr>
                          <w:rFonts w:asciiTheme="minorHAnsi" w:hAnsiTheme="minorHAnsi" w:cstheme="minorHAnsi"/>
                          <w:sz w:val="16"/>
                          <w:lang w:val="es-ES"/>
                        </w:rPr>
                        <w:t xml:space="preserve"> +506 2215.4097</w:t>
                      </w:r>
                    </w:p>
                    <w:p w:rsidR="00B56DF6" w:rsidRPr="00AC574B" w:rsidRDefault="00B56DF6" w:rsidP="00CE43C7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lang w:val="es-ES"/>
                        </w:rPr>
                      </w:pPr>
                    </w:p>
                    <w:p w:rsidR="00B56DF6" w:rsidRPr="00AC574B" w:rsidRDefault="00B56DF6" w:rsidP="00CE43C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16"/>
                          <w:lang w:val="es-ES"/>
                        </w:rPr>
                      </w:pPr>
                      <w:r w:rsidRPr="00AC574B">
                        <w:rPr>
                          <w:rFonts w:asciiTheme="minorHAnsi" w:hAnsiTheme="minorHAnsi" w:cstheme="minorHAnsi"/>
                          <w:b/>
                          <w:sz w:val="16"/>
                          <w:lang w:val="es-ES"/>
                        </w:rPr>
                        <w:t>Correo electrónico</w:t>
                      </w:r>
                    </w:p>
                    <w:p w:rsidR="00B56DF6" w:rsidRPr="00AC574B" w:rsidRDefault="00C12181" w:rsidP="00CE43C7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lang w:val="es-ES"/>
                        </w:rPr>
                      </w:pPr>
                      <w:hyperlink r:id="rId9" w:history="1">
                        <w:r w:rsidR="00B56DF6" w:rsidRPr="00AC574B">
                          <w:rPr>
                            <w:rStyle w:val="Hipervnculo"/>
                            <w:rFonts w:asciiTheme="minorHAnsi" w:hAnsiTheme="minorHAnsi" w:cstheme="minorHAnsi"/>
                            <w:sz w:val="16"/>
                            <w:lang w:val="es-ES"/>
                          </w:rPr>
                          <w:t>ienergia@aresep.go.cr</w:t>
                        </w:r>
                      </w:hyperlink>
                    </w:p>
                    <w:p w:rsidR="00B56DF6" w:rsidRPr="00AC574B" w:rsidRDefault="00B56DF6" w:rsidP="00CE43C7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lang w:val="es-ES"/>
                        </w:rPr>
                      </w:pPr>
                    </w:p>
                    <w:p w:rsidR="00B56DF6" w:rsidRPr="00AC574B" w:rsidRDefault="00B56DF6" w:rsidP="00CE43C7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lang w:val="es-ES"/>
                        </w:rPr>
                      </w:pPr>
                      <w:r w:rsidRPr="00AC574B">
                        <w:rPr>
                          <w:rFonts w:asciiTheme="minorHAnsi" w:hAnsiTheme="minorHAnsi" w:cstheme="minorHAnsi"/>
                          <w:sz w:val="16"/>
                          <w:lang w:val="es-ES"/>
                        </w:rPr>
                        <w:t>Apartado</w:t>
                      </w:r>
                    </w:p>
                    <w:p w:rsidR="00B56DF6" w:rsidRPr="00AC574B" w:rsidRDefault="00B56DF6" w:rsidP="00CE43C7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lang w:val="es-ES"/>
                        </w:rPr>
                      </w:pPr>
                      <w:r w:rsidRPr="00AC574B">
                        <w:rPr>
                          <w:rFonts w:asciiTheme="minorHAnsi" w:hAnsiTheme="minorHAnsi" w:cstheme="minorHAnsi"/>
                          <w:sz w:val="16"/>
                          <w:lang w:val="es-ES"/>
                        </w:rPr>
                        <w:t>936-1000</w:t>
                      </w:r>
                    </w:p>
                    <w:p w:rsidR="00B56DF6" w:rsidRPr="00AC574B" w:rsidRDefault="00B56DF6" w:rsidP="00CE43C7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lang w:val="es-ES"/>
                        </w:rPr>
                      </w:pPr>
                      <w:r w:rsidRPr="00AC574B">
                        <w:rPr>
                          <w:rFonts w:asciiTheme="minorHAnsi" w:hAnsiTheme="minorHAnsi" w:cstheme="minorHAnsi"/>
                          <w:sz w:val="16"/>
                          <w:lang w:val="es-ES"/>
                        </w:rPr>
                        <w:t>San José – Costa Rica</w:t>
                      </w:r>
                    </w:p>
                    <w:p w:rsidR="00B56DF6" w:rsidRPr="00AC574B" w:rsidRDefault="00B56DF6" w:rsidP="00CE43C7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lang w:val="es-ES"/>
                        </w:rPr>
                      </w:pPr>
                    </w:p>
                    <w:p w:rsidR="00B56DF6" w:rsidRPr="00AC574B" w:rsidRDefault="00B56DF6" w:rsidP="00CE43C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</w:pPr>
                      <w:r w:rsidRPr="00AC574B"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>www.aresep.go.cr</w:t>
                      </w:r>
                    </w:p>
                    <w:p w:rsidR="00B56DF6" w:rsidRPr="00AC574B" w:rsidRDefault="00B56DF6" w:rsidP="00CE43C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428D0">
        <w:rPr>
          <w:rFonts w:asciiTheme="minorHAnsi" w:hAnsiTheme="minorHAnsi"/>
          <w:b/>
        </w:rPr>
        <w:tab/>
      </w:r>
      <w:r w:rsidR="00A63EBB">
        <w:rPr>
          <w:rFonts w:asciiTheme="minorHAnsi" w:hAnsiTheme="minorHAnsi"/>
          <w:b/>
        </w:rPr>
        <w:t>FORMULARIO DE REVISIÓN MENSUAL DE LAS BASES DE DATOS DE INFORMACIÓN ESTADÍSTICA REGULAR</w:t>
      </w:r>
      <w:r w:rsidR="00A63EBB" w:rsidRPr="00A63EBB">
        <w:rPr>
          <w:rFonts w:asciiTheme="minorHAnsi" w:hAnsiTheme="minorHAnsi"/>
          <w:b/>
        </w:rPr>
        <w:t>, DEL SISTEMA DE DISTRIBUCIÓN DE ENERGÍA ELÉCTRICA</w:t>
      </w:r>
    </w:p>
    <w:p w:rsidR="00A63EBB" w:rsidRDefault="00A63EBB" w:rsidP="00E74639">
      <w:pPr>
        <w:jc w:val="both"/>
        <w:rPr>
          <w:rFonts w:asciiTheme="minorHAnsi" w:hAnsiTheme="minorHAnsi"/>
        </w:rPr>
      </w:pPr>
    </w:p>
    <w:p w:rsidR="003C7422" w:rsidRDefault="00A63EBB" w:rsidP="00E7463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 presente documento busca crear un catálogo que sirva de referencia para la revisión periódica de las bases de datos de información estadística regular de las empresas encargadas de bri</w:t>
      </w:r>
      <w:r w:rsidR="001D6377">
        <w:rPr>
          <w:rFonts w:asciiTheme="minorHAnsi" w:hAnsiTheme="minorHAnsi"/>
        </w:rPr>
        <w:t>ndar los servicios regulados</w:t>
      </w:r>
      <w:r>
        <w:rPr>
          <w:rFonts w:asciiTheme="minorHAnsi" w:hAnsiTheme="minorHAnsi"/>
        </w:rPr>
        <w:t xml:space="preserve">, para ello se crearon un conjunto de categorías con resultados necesarios en los datos reportados, los cuales se mencionan a continuación: </w:t>
      </w:r>
      <w:bookmarkStart w:id="0" w:name="_GoBack"/>
      <w:bookmarkEnd w:id="0"/>
    </w:p>
    <w:p w:rsidR="001D6377" w:rsidRDefault="001D6377" w:rsidP="00E74639">
      <w:pPr>
        <w:jc w:val="both"/>
        <w:rPr>
          <w:rFonts w:asciiTheme="minorHAnsi" w:hAnsiTheme="minorHAnsi"/>
        </w:rPr>
      </w:pPr>
    </w:p>
    <w:p w:rsidR="001D6377" w:rsidRPr="001D6377" w:rsidRDefault="00FE2058" w:rsidP="001D6377">
      <w:pPr>
        <w:jc w:val="center"/>
        <w:rPr>
          <w:rFonts w:asciiTheme="minorHAnsi" w:hAnsiTheme="minorHAnsi"/>
          <w:sz w:val="60"/>
          <w:szCs w:val="60"/>
        </w:rPr>
      </w:pPr>
      <w:r>
        <w:rPr>
          <w:rFonts w:asciiTheme="minorHAnsi" w:hAnsiTheme="minorHAnsi"/>
          <w:sz w:val="60"/>
          <w:szCs w:val="60"/>
        </w:rPr>
        <w:t>Curvas de carga de demanda</w:t>
      </w:r>
    </w:p>
    <w:tbl>
      <w:tblPr>
        <w:tblStyle w:val="Tablaconcuadrcula"/>
        <w:tblW w:w="13114" w:type="dxa"/>
        <w:tblLook w:val="04A0" w:firstRow="1" w:lastRow="0" w:firstColumn="1" w:lastColumn="0" w:noHBand="0" w:noVBand="1"/>
      </w:tblPr>
      <w:tblGrid>
        <w:gridCol w:w="428"/>
        <w:gridCol w:w="5732"/>
        <w:gridCol w:w="1438"/>
        <w:gridCol w:w="3573"/>
        <w:gridCol w:w="1943"/>
      </w:tblGrid>
      <w:tr w:rsidR="00F82A6A" w:rsidRPr="00220D12" w:rsidTr="00DF0F23">
        <w:trPr>
          <w:trHeight w:val="285"/>
        </w:trPr>
        <w:tc>
          <w:tcPr>
            <w:tcW w:w="428" w:type="dxa"/>
          </w:tcPr>
          <w:p w:rsidR="00F82A6A" w:rsidRDefault="00F82A6A" w:rsidP="00636617">
            <w:pPr>
              <w:spacing w:before="240" w:after="2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N°</w:t>
            </w:r>
          </w:p>
        </w:tc>
        <w:tc>
          <w:tcPr>
            <w:tcW w:w="5732" w:type="dxa"/>
          </w:tcPr>
          <w:p w:rsidR="00F82A6A" w:rsidRPr="00220D12" w:rsidRDefault="00F82A6A" w:rsidP="00636617">
            <w:pPr>
              <w:spacing w:before="240" w:after="2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Pautas de revisión de las Bases de Datos</w:t>
            </w:r>
          </w:p>
        </w:tc>
        <w:tc>
          <w:tcPr>
            <w:tcW w:w="1438" w:type="dxa"/>
          </w:tcPr>
          <w:p w:rsidR="00F82A6A" w:rsidRPr="00220D12" w:rsidRDefault="00F82A6A" w:rsidP="00220D12">
            <w:pPr>
              <w:jc w:val="both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</w:rPr>
              <w:t>Cumplimiento</w:t>
            </w:r>
          </w:p>
        </w:tc>
        <w:tc>
          <w:tcPr>
            <w:tcW w:w="3573" w:type="dxa"/>
          </w:tcPr>
          <w:p w:rsidR="00F82A6A" w:rsidRDefault="00F82A6A" w:rsidP="00220D1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Observaciones</w:t>
            </w:r>
          </w:p>
        </w:tc>
        <w:tc>
          <w:tcPr>
            <w:tcW w:w="1943" w:type="dxa"/>
          </w:tcPr>
          <w:p w:rsidR="00F82A6A" w:rsidRDefault="00F82A6A" w:rsidP="00220D1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Respuesta de la empresa.</w:t>
            </w:r>
          </w:p>
        </w:tc>
      </w:tr>
      <w:tr w:rsidR="00F82A6A" w:rsidRPr="00220D12" w:rsidTr="00DF0F23">
        <w:trPr>
          <w:trHeight w:val="572"/>
        </w:trPr>
        <w:tc>
          <w:tcPr>
            <w:tcW w:w="428" w:type="dxa"/>
          </w:tcPr>
          <w:p w:rsidR="00F82A6A" w:rsidRDefault="00F82A6A" w:rsidP="00D111E5">
            <w:pPr>
              <w:spacing w:before="240" w:after="2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732" w:type="dxa"/>
          </w:tcPr>
          <w:p w:rsidR="00F82A6A" w:rsidRPr="00220D12" w:rsidRDefault="00325059" w:rsidP="00D111E5">
            <w:pPr>
              <w:spacing w:before="240" w:after="2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Apego de las variables suministradas a las características indicadas en los anexos.</w:t>
            </w:r>
          </w:p>
        </w:tc>
        <w:tc>
          <w:tcPr>
            <w:tcW w:w="1438" w:type="dxa"/>
          </w:tcPr>
          <w:p w:rsidR="00F82A6A" w:rsidRPr="00220D12" w:rsidRDefault="00F82A6A" w:rsidP="00D111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73" w:type="dxa"/>
          </w:tcPr>
          <w:p w:rsidR="00F82A6A" w:rsidRPr="004666E0" w:rsidRDefault="00F82A6A" w:rsidP="00D111E5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F82A6A" w:rsidRPr="004666E0" w:rsidRDefault="00F82A6A" w:rsidP="00D111E5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</w:tr>
      <w:tr w:rsidR="00F82A6A" w:rsidRPr="00220D12" w:rsidTr="00DF0F23">
        <w:trPr>
          <w:trHeight w:val="285"/>
        </w:trPr>
        <w:tc>
          <w:tcPr>
            <w:tcW w:w="428" w:type="dxa"/>
          </w:tcPr>
          <w:p w:rsidR="00F82A6A" w:rsidRDefault="00F82A6A" w:rsidP="00D111E5">
            <w:pPr>
              <w:spacing w:before="240" w:after="2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732" w:type="dxa"/>
          </w:tcPr>
          <w:p w:rsidR="00F82A6A" w:rsidRPr="00220D12" w:rsidRDefault="00DD161E" w:rsidP="00D111E5">
            <w:pPr>
              <w:spacing w:before="240" w:after="2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Revisar la evolución histórica de las variables de modo que sea consistente con los factores que puedan influir sobre esta.</w:t>
            </w:r>
          </w:p>
        </w:tc>
        <w:tc>
          <w:tcPr>
            <w:tcW w:w="1438" w:type="dxa"/>
          </w:tcPr>
          <w:p w:rsidR="00F82A6A" w:rsidRPr="00220D12" w:rsidRDefault="00F82A6A" w:rsidP="00D111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73" w:type="dxa"/>
          </w:tcPr>
          <w:p w:rsidR="00F82A6A" w:rsidRPr="004666E0" w:rsidRDefault="00F82A6A" w:rsidP="00D111E5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F82A6A" w:rsidRPr="004666E0" w:rsidRDefault="00F82A6A" w:rsidP="00D111E5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</w:tr>
      <w:tr w:rsidR="00AE022D" w:rsidRPr="00220D12" w:rsidTr="00DF0F23">
        <w:trPr>
          <w:trHeight w:val="285"/>
        </w:trPr>
        <w:tc>
          <w:tcPr>
            <w:tcW w:w="428" w:type="dxa"/>
          </w:tcPr>
          <w:p w:rsidR="00AE022D" w:rsidRDefault="00AE022D" w:rsidP="00AE022D">
            <w:pPr>
              <w:spacing w:before="240" w:after="2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732" w:type="dxa"/>
          </w:tcPr>
          <w:p w:rsidR="00AE022D" w:rsidRPr="00220D12" w:rsidRDefault="00AE022D" w:rsidP="00AE022D">
            <w:pPr>
              <w:spacing w:before="240" w:after="2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Revisar la relación existente entre las variables de la base de datos.</w:t>
            </w:r>
          </w:p>
        </w:tc>
        <w:tc>
          <w:tcPr>
            <w:tcW w:w="1438" w:type="dxa"/>
          </w:tcPr>
          <w:p w:rsidR="00AE022D" w:rsidRPr="00220D12" w:rsidRDefault="00AE022D" w:rsidP="00AE022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73" w:type="dxa"/>
          </w:tcPr>
          <w:p w:rsidR="00AE022D" w:rsidRPr="004666E0" w:rsidRDefault="00AE022D" w:rsidP="00AE022D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E022D" w:rsidRPr="004666E0" w:rsidRDefault="00AE022D" w:rsidP="00AE022D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</w:tr>
      <w:tr w:rsidR="00AE022D" w:rsidRPr="00220D12" w:rsidTr="00DF0F23">
        <w:trPr>
          <w:trHeight w:val="285"/>
        </w:trPr>
        <w:tc>
          <w:tcPr>
            <w:tcW w:w="428" w:type="dxa"/>
          </w:tcPr>
          <w:p w:rsidR="00AE022D" w:rsidRDefault="00AE022D" w:rsidP="00AE022D">
            <w:pPr>
              <w:spacing w:before="240" w:after="2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732" w:type="dxa"/>
          </w:tcPr>
          <w:p w:rsidR="00AE022D" w:rsidRDefault="00AE022D" w:rsidP="00AE022D">
            <w:pPr>
              <w:spacing w:before="240" w:after="2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Revisar que los cálculos de las variables que realizan las empresas sean correctos y consistentes.</w:t>
            </w:r>
          </w:p>
        </w:tc>
        <w:tc>
          <w:tcPr>
            <w:tcW w:w="1438" w:type="dxa"/>
          </w:tcPr>
          <w:p w:rsidR="00AE022D" w:rsidRPr="00220D12" w:rsidRDefault="00AE022D" w:rsidP="00AE022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73" w:type="dxa"/>
          </w:tcPr>
          <w:p w:rsidR="00AE022D" w:rsidRPr="004666E0" w:rsidRDefault="00AE022D" w:rsidP="00AE022D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E022D" w:rsidRDefault="00AE022D" w:rsidP="00AE022D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</w:tr>
      <w:tr w:rsidR="00AE022D" w:rsidRPr="00220D12" w:rsidTr="00DF0F23">
        <w:trPr>
          <w:trHeight w:val="285"/>
        </w:trPr>
        <w:tc>
          <w:tcPr>
            <w:tcW w:w="428" w:type="dxa"/>
          </w:tcPr>
          <w:p w:rsidR="00AE022D" w:rsidRDefault="00AE022D" w:rsidP="00AE022D">
            <w:pPr>
              <w:spacing w:before="240" w:after="2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5732" w:type="dxa"/>
          </w:tcPr>
          <w:p w:rsidR="00AE022D" w:rsidRDefault="00AE022D" w:rsidP="00AE022D">
            <w:pPr>
              <w:spacing w:before="240" w:after="2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Concordancia de la información remitida con otros informes presentados por las empresas reguladas.</w:t>
            </w:r>
          </w:p>
        </w:tc>
        <w:tc>
          <w:tcPr>
            <w:tcW w:w="1438" w:type="dxa"/>
          </w:tcPr>
          <w:p w:rsidR="00AE022D" w:rsidRPr="00220D12" w:rsidRDefault="00AE022D" w:rsidP="00AE022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73" w:type="dxa"/>
          </w:tcPr>
          <w:p w:rsidR="00AE022D" w:rsidRPr="004666E0" w:rsidRDefault="00AE022D" w:rsidP="00AE022D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E022D" w:rsidRDefault="00AE022D" w:rsidP="00AE022D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</w:tr>
      <w:tr w:rsidR="00AE022D" w:rsidRPr="00220D12" w:rsidTr="00DF0F23">
        <w:trPr>
          <w:trHeight w:val="285"/>
        </w:trPr>
        <w:tc>
          <w:tcPr>
            <w:tcW w:w="428" w:type="dxa"/>
          </w:tcPr>
          <w:p w:rsidR="00AE022D" w:rsidRDefault="00AE022D" w:rsidP="00AE022D">
            <w:pPr>
              <w:spacing w:before="240" w:after="2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5732" w:type="dxa"/>
          </w:tcPr>
          <w:p w:rsidR="00AE022D" w:rsidRDefault="00AE022D" w:rsidP="00AE022D">
            <w:pPr>
              <w:spacing w:before="240" w:after="2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Revisar la concordancia de la información suministrada con las condiciones del mercado, y los factores que puedan estar influyendo en su comportamiento.</w:t>
            </w:r>
          </w:p>
        </w:tc>
        <w:tc>
          <w:tcPr>
            <w:tcW w:w="1438" w:type="dxa"/>
          </w:tcPr>
          <w:p w:rsidR="00AE022D" w:rsidRPr="00220D12" w:rsidRDefault="00AE022D" w:rsidP="00AE022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73" w:type="dxa"/>
          </w:tcPr>
          <w:p w:rsidR="00AE022D" w:rsidRPr="004666E0" w:rsidRDefault="00AE022D" w:rsidP="00AE022D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E022D" w:rsidRDefault="00AE022D" w:rsidP="00AE022D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</w:tr>
    </w:tbl>
    <w:p w:rsidR="000A58C3" w:rsidRDefault="000A58C3" w:rsidP="00DD161E">
      <w:pPr>
        <w:spacing w:after="160" w:line="259" w:lineRule="auto"/>
        <w:rPr>
          <w:rFonts w:asciiTheme="minorHAnsi" w:hAnsiTheme="minorHAnsi" w:cs="Aharoni"/>
          <w:sz w:val="40"/>
          <w:szCs w:val="40"/>
        </w:rPr>
      </w:pPr>
    </w:p>
    <w:sectPr w:rsidR="000A58C3" w:rsidSect="00DD161E">
      <w:headerReference w:type="default" r:id="rId10"/>
      <w:footerReference w:type="default" r:id="rId11"/>
      <w:pgSz w:w="15840" w:h="12240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52" w:rsidRDefault="009A6D52" w:rsidP="00E74639">
      <w:r>
        <w:separator/>
      </w:r>
    </w:p>
  </w:endnote>
  <w:endnote w:type="continuationSeparator" w:id="0">
    <w:p w:rsidR="009A6D52" w:rsidRDefault="009A6D52" w:rsidP="00E7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9314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56DF6" w:rsidRDefault="00B56DF6" w:rsidP="005C0CDA">
            <w:pPr>
              <w:pStyle w:val="Piedepgina"/>
            </w:pPr>
            <w:r>
              <w:t>AQR</w:t>
            </w:r>
            <w:r>
              <w:tab/>
            </w:r>
            <w:r>
              <w:tab/>
            </w:r>
            <w:r>
              <w:rPr>
                <w:lang w:val="es-E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02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02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6DF6" w:rsidRDefault="00B56D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52" w:rsidRDefault="009A6D52" w:rsidP="00E74639">
      <w:r>
        <w:separator/>
      </w:r>
    </w:p>
  </w:footnote>
  <w:footnote w:type="continuationSeparator" w:id="0">
    <w:p w:rsidR="009A6D52" w:rsidRDefault="009A6D52" w:rsidP="00E74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DF6" w:rsidRDefault="006F1736">
    <w:pPr>
      <w:pStyle w:val="Encabezado"/>
      <w:jc w:val="right"/>
    </w:pPr>
    <w:r>
      <w:rPr>
        <w:noProof/>
        <w:lang w:eastAsia="es-CR"/>
      </w:rPr>
      <w:drawing>
        <wp:inline distT="0" distB="0" distL="0" distR="0" wp14:anchorId="7374755E" wp14:editId="55C78B36">
          <wp:extent cx="1828800" cy="809625"/>
          <wp:effectExtent l="0" t="0" r="0" b="9525"/>
          <wp:docPr id="2" name="Imagen 2" descr="Aresep-marca-H-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sep-marca-H-K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6DF6" w:rsidRDefault="00B56DF6">
    <w:pPr>
      <w:pStyle w:val="Encabezado"/>
      <w:jc w:val="right"/>
    </w:pPr>
  </w:p>
  <w:p w:rsidR="00B56DF6" w:rsidRDefault="00B56DF6">
    <w:pPr>
      <w:pStyle w:val="Encabezado"/>
      <w:jc w:val="right"/>
    </w:pPr>
  </w:p>
  <w:p w:rsidR="00B56DF6" w:rsidRDefault="00B56DF6">
    <w:pPr>
      <w:pStyle w:val="Encabezado"/>
      <w:jc w:val="right"/>
    </w:pPr>
  </w:p>
  <w:p w:rsidR="00B56DF6" w:rsidRDefault="00B56DF6">
    <w:pPr>
      <w:pStyle w:val="Encabezado"/>
      <w:jc w:val="right"/>
    </w:pPr>
  </w:p>
  <w:p w:rsidR="00B56DF6" w:rsidRDefault="00B56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67F3A"/>
    <w:multiLevelType w:val="hybridMultilevel"/>
    <w:tmpl w:val="3F78478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F07C2F"/>
    <w:multiLevelType w:val="hybridMultilevel"/>
    <w:tmpl w:val="BE2083E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27907"/>
    <w:multiLevelType w:val="hybridMultilevel"/>
    <w:tmpl w:val="9992DEC6"/>
    <w:lvl w:ilvl="0" w:tplc="140A000F">
      <w:start w:val="1"/>
      <w:numFmt w:val="decimal"/>
      <w:lvlText w:val="%1."/>
      <w:lvlJc w:val="left"/>
      <w:pPr>
        <w:ind w:left="950" w:hanging="360"/>
      </w:pPr>
    </w:lvl>
    <w:lvl w:ilvl="1" w:tplc="140A0019" w:tentative="1">
      <w:start w:val="1"/>
      <w:numFmt w:val="lowerLetter"/>
      <w:lvlText w:val="%2."/>
      <w:lvlJc w:val="left"/>
      <w:pPr>
        <w:ind w:left="1670" w:hanging="360"/>
      </w:pPr>
    </w:lvl>
    <w:lvl w:ilvl="2" w:tplc="140A001B" w:tentative="1">
      <w:start w:val="1"/>
      <w:numFmt w:val="lowerRoman"/>
      <w:lvlText w:val="%3."/>
      <w:lvlJc w:val="right"/>
      <w:pPr>
        <w:ind w:left="2390" w:hanging="180"/>
      </w:pPr>
    </w:lvl>
    <w:lvl w:ilvl="3" w:tplc="140A000F" w:tentative="1">
      <w:start w:val="1"/>
      <w:numFmt w:val="decimal"/>
      <w:lvlText w:val="%4."/>
      <w:lvlJc w:val="left"/>
      <w:pPr>
        <w:ind w:left="3110" w:hanging="360"/>
      </w:pPr>
    </w:lvl>
    <w:lvl w:ilvl="4" w:tplc="140A0019" w:tentative="1">
      <w:start w:val="1"/>
      <w:numFmt w:val="lowerLetter"/>
      <w:lvlText w:val="%5."/>
      <w:lvlJc w:val="left"/>
      <w:pPr>
        <w:ind w:left="3830" w:hanging="360"/>
      </w:pPr>
    </w:lvl>
    <w:lvl w:ilvl="5" w:tplc="140A001B" w:tentative="1">
      <w:start w:val="1"/>
      <w:numFmt w:val="lowerRoman"/>
      <w:lvlText w:val="%6."/>
      <w:lvlJc w:val="right"/>
      <w:pPr>
        <w:ind w:left="4550" w:hanging="180"/>
      </w:pPr>
    </w:lvl>
    <w:lvl w:ilvl="6" w:tplc="140A000F" w:tentative="1">
      <w:start w:val="1"/>
      <w:numFmt w:val="decimal"/>
      <w:lvlText w:val="%7."/>
      <w:lvlJc w:val="left"/>
      <w:pPr>
        <w:ind w:left="5270" w:hanging="360"/>
      </w:pPr>
    </w:lvl>
    <w:lvl w:ilvl="7" w:tplc="140A0019" w:tentative="1">
      <w:start w:val="1"/>
      <w:numFmt w:val="lowerLetter"/>
      <w:lvlText w:val="%8."/>
      <w:lvlJc w:val="left"/>
      <w:pPr>
        <w:ind w:left="5990" w:hanging="360"/>
      </w:pPr>
    </w:lvl>
    <w:lvl w:ilvl="8" w:tplc="140A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" w15:restartNumberingAfterBreak="0">
    <w:nsid w:val="3D9A0C54"/>
    <w:multiLevelType w:val="hybridMultilevel"/>
    <w:tmpl w:val="01185442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F028B"/>
    <w:multiLevelType w:val="multilevel"/>
    <w:tmpl w:val="6D34CC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594ACD"/>
    <w:multiLevelType w:val="hybridMultilevel"/>
    <w:tmpl w:val="52E80556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0F">
      <w:start w:val="1"/>
      <w:numFmt w:val="decimal"/>
      <w:lvlText w:val="%2."/>
      <w:lvlJc w:val="left"/>
      <w:pPr>
        <w:ind w:left="927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61DC5"/>
    <w:multiLevelType w:val="hybridMultilevel"/>
    <w:tmpl w:val="A0CE799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45"/>
    <w:rsid w:val="00012DBC"/>
    <w:rsid w:val="00013094"/>
    <w:rsid w:val="000325CC"/>
    <w:rsid w:val="00043C14"/>
    <w:rsid w:val="000512C1"/>
    <w:rsid w:val="0005673B"/>
    <w:rsid w:val="00073A97"/>
    <w:rsid w:val="000A58C3"/>
    <w:rsid w:val="000C1E09"/>
    <w:rsid w:val="000D2293"/>
    <w:rsid w:val="000D27AC"/>
    <w:rsid w:val="000D6783"/>
    <w:rsid w:val="000D7887"/>
    <w:rsid w:val="000F2E6A"/>
    <w:rsid w:val="00101D38"/>
    <w:rsid w:val="00130293"/>
    <w:rsid w:val="00131483"/>
    <w:rsid w:val="00151C33"/>
    <w:rsid w:val="001C598A"/>
    <w:rsid w:val="001D6377"/>
    <w:rsid w:val="00207ADB"/>
    <w:rsid w:val="00211702"/>
    <w:rsid w:val="00216E3F"/>
    <w:rsid w:val="00220B87"/>
    <w:rsid w:val="00220D12"/>
    <w:rsid w:val="002A4D53"/>
    <w:rsid w:val="002A51F9"/>
    <w:rsid w:val="002C15F3"/>
    <w:rsid w:val="002E0A32"/>
    <w:rsid w:val="002F6EC0"/>
    <w:rsid w:val="00325059"/>
    <w:rsid w:val="00366F31"/>
    <w:rsid w:val="003A1242"/>
    <w:rsid w:val="003A5F51"/>
    <w:rsid w:val="003C0FDF"/>
    <w:rsid w:val="003C7422"/>
    <w:rsid w:val="003C7D96"/>
    <w:rsid w:val="003D0038"/>
    <w:rsid w:val="00407E37"/>
    <w:rsid w:val="00415ED4"/>
    <w:rsid w:val="0043607B"/>
    <w:rsid w:val="0045166B"/>
    <w:rsid w:val="00461DBA"/>
    <w:rsid w:val="004666E0"/>
    <w:rsid w:val="00466769"/>
    <w:rsid w:val="00472BAE"/>
    <w:rsid w:val="00500370"/>
    <w:rsid w:val="00502AB7"/>
    <w:rsid w:val="00513AB9"/>
    <w:rsid w:val="0053360F"/>
    <w:rsid w:val="005375E7"/>
    <w:rsid w:val="005512DB"/>
    <w:rsid w:val="00560711"/>
    <w:rsid w:val="0057003B"/>
    <w:rsid w:val="00580BDF"/>
    <w:rsid w:val="005904D6"/>
    <w:rsid w:val="005B0717"/>
    <w:rsid w:val="005C0CDA"/>
    <w:rsid w:val="005C4382"/>
    <w:rsid w:val="005D4293"/>
    <w:rsid w:val="005D4FE2"/>
    <w:rsid w:val="005E70F6"/>
    <w:rsid w:val="00632496"/>
    <w:rsid w:val="00632615"/>
    <w:rsid w:val="00634619"/>
    <w:rsid w:val="00636617"/>
    <w:rsid w:val="00655785"/>
    <w:rsid w:val="006573B2"/>
    <w:rsid w:val="00674CD5"/>
    <w:rsid w:val="00690B6E"/>
    <w:rsid w:val="0069114B"/>
    <w:rsid w:val="006B1EF4"/>
    <w:rsid w:val="006B7F4F"/>
    <w:rsid w:val="006C3D3B"/>
    <w:rsid w:val="006E5992"/>
    <w:rsid w:val="006F0D7B"/>
    <w:rsid w:val="006F1736"/>
    <w:rsid w:val="007002E5"/>
    <w:rsid w:val="00700AB9"/>
    <w:rsid w:val="00710A88"/>
    <w:rsid w:val="007428D0"/>
    <w:rsid w:val="00743A5D"/>
    <w:rsid w:val="007561AB"/>
    <w:rsid w:val="00771B1C"/>
    <w:rsid w:val="007B35F6"/>
    <w:rsid w:val="007C3EB8"/>
    <w:rsid w:val="007E0049"/>
    <w:rsid w:val="00812B93"/>
    <w:rsid w:val="00871CD9"/>
    <w:rsid w:val="008826C3"/>
    <w:rsid w:val="00892523"/>
    <w:rsid w:val="008C568D"/>
    <w:rsid w:val="008D296B"/>
    <w:rsid w:val="008E6DBD"/>
    <w:rsid w:val="008F155E"/>
    <w:rsid w:val="008F75AE"/>
    <w:rsid w:val="00904528"/>
    <w:rsid w:val="009079F9"/>
    <w:rsid w:val="00925E12"/>
    <w:rsid w:val="00933000"/>
    <w:rsid w:val="00942941"/>
    <w:rsid w:val="00951F60"/>
    <w:rsid w:val="00964D07"/>
    <w:rsid w:val="00970AA4"/>
    <w:rsid w:val="00981D5E"/>
    <w:rsid w:val="009A2E50"/>
    <w:rsid w:val="009A6D52"/>
    <w:rsid w:val="009C518E"/>
    <w:rsid w:val="009F3DC2"/>
    <w:rsid w:val="00A02D3A"/>
    <w:rsid w:val="00A03583"/>
    <w:rsid w:val="00A05929"/>
    <w:rsid w:val="00A416EF"/>
    <w:rsid w:val="00A5148A"/>
    <w:rsid w:val="00A63EBB"/>
    <w:rsid w:val="00A737E4"/>
    <w:rsid w:val="00A8766D"/>
    <w:rsid w:val="00A95B88"/>
    <w:rsid w:val="00AA2CFF"/>
    <w:rsid w:val="00AC787C"/>
    <w:rsid w:val="00AD0906"/>
    <w:rsid w:val="00AE022D"/>
    <w:rsid w:val="00AE3000"/>
    <w:rsid w:val="00AF26D3"/>
    <w:rsid w:val="00B2078E"/>
    <w:rsid w:val="00B33997"/>
    <w:rsid w:val="00B56DF6"/>
    <w:rsid w:val="00B64A45"/>
    <w:rsid w:val="00B9326F"/>
    <w:rsid w:val="00B967ED"/>
    <w:rsid w:val="00BB607D"/>
    <w:rsid w:val="00BE7B8B"/>
    <w:rsid w:val="00BF00FD"/>
    <w:rsid w:val="00BF57FA"/>
    <w:rsid w:val="00C12181"/>
    <w:rsid w:val="00C22F1C"/>
    <w:rsid w:val="00C369B8"/>
    <w:rsid w:val="00C72828"/>
    <w:rsid w:val="00CB6DF9"/>
    <w:rsid w:val="00CD07DA"/>
    <w:rsid w:val="00CD12A0"/>
    <w:rsid w:val="00CD757F"/>
    <w:rsid w:val="00CE2200"/>
    <w:rsid w:val="00CE43C7"/>
    <w:rsid w:val="00CE4D98"/>
    <w:rsid w:val="00CE5183"/>
    <w:rsid w:val="00CE6F4B"/>
    <w:rsid w:val="00CE7252"/>
    <w:rsid w:val="00CF03EC"/>
    <w:rsid w:val="00CF67C6"/>
    <w:rsid w:val="00D069BD"/>
    <w:rsid w:val="00D111E5"/>
    <w:rsid w:val="00D37180"/>
    <w:rsid w:val="00D57D54"/>
    <w:rsid w:val="00D64F7D"/>
    <w:rsid w:val="00D83C42"/>
    <w:rsid w:val="00D87AC0"/>
    <w:rsid w:val="00DB77FC"/>
    <w:rsid w:val="00DD161E"/>
    <w:rsid w:val="00DD5C75"/>
    <w:rsid w:val="00DE18E0"/>
    <w:rsid w:val="00DF03F1"/>
    <w:rsid w:val="00DF0F23"/>
    <w:rsid w:val="00E025F3"/>
    <w:rsid w:val="00E125BB"/>
    <w:rsid w:val="00E2728D"/>
    <w:rsid w:val="00E406BD"/>
    <w:rsid w:val="00E74639"/>
    <w:rsid w:val="00EA0D6F"/>
    <w:rsid w:val="00EB73FB"/>
    <w:rsid w:val="00F22963"/>
    <w:rsid w:val="00F82A6A"/>
    <w:rsid w:val="00F8547E"/>
    <w:rsid w:val="00F9278D"/>
    <w:rsid w:val="00FA2156"/>
    <w:rsid w:val="00FA4C12"/>
    <w:rsid w:val="00FA6B52"/>
    <w:rsid w:val="00FD10A6"/>
    <w:rsid w:val="00FE2058"/>
    <w:rsid w:val="00FE69BD"/>
    <w:rsid w:val="00FF31C3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docId w15:val="{8F4D811A-BCB1-4E89-A4BC-D7CFAC69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3C7"/>
    <w:pPr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B64A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B64A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E7463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74639"/>
  </w:style>
  <w:style w:type="paragraph" w:styleId="Piedepgina">
    <w:name w:val="footer"/>
    <w:basedOn w:val="Normal"/>
    <w:link w:val="PiedepginaCar"/>
    <w:uiPriority w:val="99"/>
    <w:unhideWhenUsed/>
    <w:rsid w:val="00E7463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4639"/>
  </w:style>
  <w:style w:type="character" w:styleId="Hipervnculo">
    <w:name w:val="Hyperlink"/>
    <w:basedOn w:val="Fuentedeprrafopredeter"/>
    <w:uiPriority w:val="99"/>
    <w:rsid w:val="00E746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0C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3583"/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5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2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nergia@aresep.go.c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energia@aresep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Gre03</b:Tag>
    <b:SourceType>Book</b:SourceType>
    <b:Guid>{96D51C1B-DCBB-4324-9375-BBC8E7F4F009}</b:Guid>
    <b:Author>
      <b:Author>
        <b:NameList>
          <b:Person>
            <b:Last>Greene</b:Last>
            <b:First>William</b:First>
          </b:Person>
        </b:NameList>
      </b:Author>
    </b:Author>
    <b:Title>Econometric Analysis</b:Title>
    <b:Year>2003</b:Year>
    <b:Publisher>Prentice Hall</b:Publisher>
    <b:City>New Jersey</b:City>
    <b:RefOrder>1</b:RefOrder>
  </b:Source>
</b:Sources>
</file>

<file path=customXml/itemProps1.xml><?xml version="1.0" encoding="utf-8"?>
<ds:datastoreItem xmlns:ds="http://schemas.openxmlformats.org/officeDocument/2006/customXml" ds:itemID="{4F1B35C5-089E-4DB3-BEBF-0F2EDEE4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Quesada Rojas</dc:creator>
  <cp:keywords/>
  <dc:description/>
  <cp:lastModifiedBy>Allan Quesada Rojas</cp:lastModifiedBy>
  <cp:revision>2</cp:revision>
  <cp:lastPrinted>2014-11-11T19:39:00Z</cp:lastPrinted>
  <dcterms:created xsi:type="dcterms:W3CDTF">2017-01-30T21:04:00Z</dcterms:created>
  <dcterms:modified xsi:type="dcterms:W3CDTF">2017-01-30T21:04:00Z</dcterms:modified>
</cp:coreProperties>
</file>